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3499" w14:textId="77777777" w:rsidR="00B7145B" w:rsidRPr="00EA79FE" w:rsidRDefault="00B7145B" w:rsidP="00B7145B">
      <w:pPr>
        <w:spacing w:line="240" w:lineRule="atLeast"/>
        <w:rPr>
          <w:rFonts w:ascii="Arial" w:hAnsi="Arial" w:cs="Arial"/>
        </w:rPr>
      </w:pPr>
      <w:bookmarkStart w:id="0" w:name="_GoBack"/>
      <w:bookmarkEnd w:id="0"/>
      <w:r w:rsidRPr="00EA79FE">
        <w:rPr>
          <w:rFonts w:ascii="Arial" w:hAnsi="Arial" w:cs="Arial"/>
          <w:noProof/>
          <w:lang w:eastAsia="de-DE"/>
        </w:rPr>
        <w:drawing>
          <wp:anchor distT="0" distB="0" distL="114300" distR="114300" simplePos="0" relativeHeight="251659264" behindDoc="1" locked="0" layoutInCell="0" allowOverlap="0" wp14:anchorId="223B6D64" wp14:editId="5CE0546B">
            <wp:simplePos x="0" y="0"/>
            <wp:positionH relativeFrom="column">
              <wp:posOffset>4272280</wp:posOffset>
            </wp:positionH>
            <wp:positionV relativeFrom="page">
              <wp:posOffset>266700</wp:posOffset>
            </wp:positionV>
            <wp:extent cx="1507490" cy="1444625"/>
            <wp:effectExtent l="0" t="0" r="0" b="3175"/>
            <wp:wrapTight wrapText="bothSides">
              <wp:wrapPolygon edited="0">
                <wp:start x="0" y="0"/>
                <wp:lineTo x="0" y="21363"/>
                <wp:lineTo x="21291" y="21363"/>
                <wp:lineTo x="2129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_HSL_KOPF_rechts_farb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7490" cy="1444625"/>
                    </a:xfrm>
                    <a:prstGeom prst="rect">
                      <a:avLst/>
                    </a:prstGeom>
                  </pic:spPr>
                </pic:pic>
              </a:graphicData>
            </a:graphic>
            <wp14:sizeRelH relativeFrom="margin">
              <wp14:pctWidth>0</wp14:pctWidth>
            </wp14:sizeRelH>
            <wp14:sizeRelV relativeFrom="margin">
              <wp14:pctHeight>0</wp14:pctHeight>
            </wp14:sizeRelV>
          </wp:anchor>
        </w:drawing>
      </w:r>
      <w:r w:rsidRPr="00EA79FE">
        <w:rPr>
          <w:rFonts w:ascii="Arial" w:hAnsi="Arial" w:cs="Arial"/>
          <w:noProof/>
          <w:lang w:eastAsia="de-DE"/>
        </w:rPr>
        <w:drawing>
          <wp:anchor distT="0" distB="0" distL="114300" distR="114300" simplePos="0" relativeHeight="251660288" behindDoc="1" locked="0" layoutInCell="0" allowOverlap="0" wp14:anchorId="25136477" wp14:editId="7401E9AA">
            <wp:simplePos x="0" y="0"/>
            <wp:positionH relativeFrom="column">
              <wp:posOffset>-71120</wp:posOffset>
            </wp:positionH>
            <wp:positionV relativeFrom="page">
              <wp:posOffset>438150</wp:posOffset>
            </wp:positionV>
            <wp:extent cx="1724025" cy="395605"/>
            <wp:effectExtent l="0" t="0" r="9525" b="4445"/>
            <wp:wrapTight wrapText="bothSides">
              <wp:wrapPolygon edited="0">
                <wp:start x="0" y="0"/>
                <wp:lineTo x="0" y="20803"/>
                <wp:lineTo x="21481" y="20803"/>
                <wp:lineTo x="2148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L_KOPF_links_farb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4025" cy="395605"/>
                    </a:xfrm>
                    <a:prstGeom prst="rect">
                      <a:avLst/>
                    </a:prstGeom>
                  </pic:spPr>
                </pic:pic>
              </a:graphicData>
            </a:graphic>
            <wp14:sizeRelH relativeFrom="margin">
              <wp14:pctWidth>0</wp14:pctWidth>
            </wp14:sizeRelH>
            <wp14:sizeRelV relativeFrom="margin">
              <wp14:pctHeight>0</wp14:pctHeight>
            </wp14:sizeRelV>
          </wp:anchor>
        </w:drawing>
      </w:r>
    </w:p>
    <w:p w14:paraId="6333897A" w14:textId="77777777" w:rsidR="00B7145B" w:rsidRPr="00EA79FE" w:rsidRDefault="00B7145B" w:rsidP="00B7145B">
      <w:pPr>
        <w:spacing w:line="240" w:lineRule="atLeast"/>
        <w:rPr>
          <w:rFonts w:ascii="Arial" w:hAnsi="Arial" w:cs="Arial"/>
        </w:rPr>
      </w:pPr>
      <w:r w:rsidRPr="00EA79FE">
        <w:rPr>
          <w:rFonts w:ascii="Arial" w:hAnsi="Arial" w:cs="Arial"/>
        </w:rPr>
        <w:t>__________________________________________________</w:t>
      </w:r>
      <w:r>
        <w:rPr>
          <w:rFonts w:ascii="Arial" w:hAnsi="Arial" w:cs="Arial"/>
        </w:rPr>
        <w:t>________________________</w:t>
      </w:r>
    </w:p>
    <w:p w14:paraId="4B2DFA7E" w14:textId="77777777" w:rsidR="00B7145B" w:rsidRPr="00EA79FE" w:rsidRDefault="00B7145B" w:rsidP="00B7145B">
      <w:pPr>
        <w:autoSpaceDE w:val="0"/>
        <w:autoSpaceDN w:val="0"/>
        <w:adjustRightInd w:val="0"/>
        <w:spacing w:line="240" w:lineRule="atLeast"/>
        <w:rPr>
          <w:rFonts w:ascii="Arial" w:hAnsi="Arial" w:cs="Arial"/>
          <w:color w:val="000000"/>
        </w:rPr>
      </w:pPr>
    </w:p>
    <w:p w14:paraId="3DEF8033"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281608DC"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705E9BB6"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7888935E"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2A8A7FE6"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1E59730C"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689F5AB0"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44670F25"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40BCC5EC"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2501D384"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521C2E31"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1E24F355"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0A97BC14"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7A170794"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608AC16F"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462BA527"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4352DB07" w14:textId="66B8DE19" w:rsidR="00B7145B" w:rsidRDefault="00B7145B" w:rsidP="00B7145B">
      <w:pPr>
        <w:autoSpaceDE w:val="0"/>
        <w:autoSpaceDN w:val="0"/>
        <w:adjustRightInd w:val="0"/>
        <w:spacing w:line="240" w:lineRule="atLeast"/>
        <w:jc w:val="center"/>
        <w:rPr>
          <w:rFonts w:ascii="Arial" w:hAnsi="Arial" w:cs="Arial"/>
          <w:b/>
          <w:bCs/>
          <w:color w:val="000000"/>
        </w:rPr>
      </w:pPr>
    </w:p>
    <w:p w14:paraId="5CA969EB" w14:textId="77777777" w:rsidR="00B7145B" w:rsidRDefault="00B7145B" w:rsidP="00B7145B">
      <w:pPr>
        <w:autoSpaceDE w:val="0"/>
        <w:autoSpaceDN w:val="0"/>
        <w:adjustRightInd w:val="0"/>
        <w:spacing w:line="240" w:lineRule="atLeast"/>
        <w:jc w:val="center"/>
        <w:rPr>
          <w:rFonts w:ascii="Arial" w:hAnsi="Arial" w:cs="Arial"/>
          <w:b/>
          <w:bCs/>
          <w:color w:val="000000"/>
        </w:rPr>
      </w:pPr>
    </w:p>
    <w:p w14:paraId="6A51360F" w14:textId="77777777" w:rsidR="00B7145B" w:rsidRPr="000D1BAF" w:rsidRDefault="00B7145B" w:rsidP="00B7145B">
      <w:pPr>
        <w:autoSpaceDE w:val="0"/>
        <w:autoSpaceDN w:val="0"/>
        <w:adjustRightInd w:val="0"/>
        <w:spacing w:line="240" w:lineRule="atLeast"/>
        <w:jc w:val="center"/>
        <w:rPr>
          <w:rFonts w:ascii="Arial" w:hAnsi="Arial" w:cs="Arial"/>
          <w:bCs/>
          <w:color w:val="000000"/>
          <w:sz w:val="144"/>
          <w:szCs w:val="144"/>
        </w:rPr>
      </w:pPr>
      <w:r w:rsidRPr="000D1BAF">
        <w:rPr>
          <w:rFonts w:ascii="Arial" w:hAnsi="Arial" w:cs="Arial"/>
          <w:bCs/>
          <w:color w:val="000000"/>
          <w:sz w:val="144"/>
          <w:szCs w:val="144"/>
        </w:rPr>
        <w:t>Handbuch</w:t>
      </w:r>
    </w:p>
    <w:p w14:paraId="4893C78C" w14:textId="77777777" w:rsidR="00B7145B" w:rsidRPr="000D1BAF" w:rsidRDefault="00B7145B" w:rsidP="00B7145B">
      <w:pPr>
        <w:autoSpaceDE w:val="0"/>
        <w:autoSpaceDN w:val="0"/>
        <w:adjustRightInd w:val="0"/>
        <w:spacing w:line="240" w:lineRule="atLeast"/>
        <w:jc w:val="center"/>
        <w:rPr>
          <w:rFonts w:ascii="Arial" w:hAnsi="Arial" w:cs="Arial"/>
          <w:bCs/>
          <w:color w:val="000000"/>
          <w:sz w:val="28"/>
        </w:rPr>
      </w:pPr>
    </w:p>
    <w:p w14:paraId="6C42472E" w14:textId="5FE28612" w:rsidR="00B7145B" w:rsidRPr="000D1BAF" w:rsidRDefault="007272BB" w:rsidP="00B7145B">
      <w:pPr>
        <w:autoSpaceDE w:val="0"/>
        <w:autoSpaceDN w:val="0"/>
        <w:adjustRightInd w:val="0"/>
        <w:spacing w:line="240" w:lineRule="atLeast"/>
        <w:jc w:val="center"/>
        <w:rPr>
          <w:rFonts w:ascii="Arial" w:hAnsi="Arial" w:cs="Arial"/>
          <w:bCs/>
          <w:color w:val="000000"/>
          <w:sz w:val="28"/>
        </w:rPr>
      </w:pPr>
      <w:r w:rsidRPr="007272BB">
        <w:rPr>
          <w:rFonts w:ascii="Arial" w:hAnsi="Arial" w:cs="Arial"/>
          <w:bCs/>
          <w:color w:val="000000"/>
          <w:sz w:val="40"/>
          <w:szCs w:val="36"/>
        </w:rPr>
        <w:t>zur Meldung der Vierteljährlichen Kassenstatistik der kameral/doppisch buchenden Extrahaushalte der Gemeinden und Gemeindeverbände 202</w:t>
      </w:r>
      <w:r w:rsidR="000B72C7">
        <w:rPr>
          <w:rFonts w:ascii="Arial" w:hAnsi="Arial" w:cs="Arial"/>
          <w:bCs/>
          <w:color w:val="000000"/>
          <w:sz w:val="40"/>
          <w:szCs w:val="36"/>
        </w:rPr>
        <w:t>5</w:t>
      </w:r>
      <w:r w:rsidRPr="007272BB">
        <w:rPr>
          <w:rFonts w:ascii="Arial" w:hAnsi="Arial" w:cs="Arial"/>
          <w:bCs/>
          <w:color w:val="000000"/>
          <w:sz w:val="40"/>
          <w:szCs w:val="36"/>
        </w:rPr>
        <w:t xml:space="preserve"> (GFK)</w:t>
      </w:r>
    </w:p>
    <w:p w14:paraId="45B1B336"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4D34F010"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02EA80AA"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7956ADFB"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0D5D672E"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534C16F8"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2919F7F8"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644AB0B2"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20698112" w14:textId="77777777" w:rsidR="00B7145B" w:rsidRDefault="00B7145B" w:rsidP="00B7145B">
      <w:pPr>
        <w:autoSpaceDE w:val="0"/>
        <w:autoSpaceDN w:val="0"/>
        <w:adjustRightInd w:val="0"/>
        <w:spacing w:line="240" w:lineRule="atLeast"/>
        <w:jc w:val="center"/>
        <w:rPr>
          <w:rFonts w:ascii="Arial" w:hAnsi="Arial" w:cs="Arial"/>
          <w:b/>
          <w:bCs/>
          <w:color w:val="000000"/>
          <w:sz w:val="28"/>
        </w:rPr>
      </w:pPr>
    </w:p>
    <w:p w14:paraId="5452940B" w14:textId="3CB8775A" w:rsidR="00B7145B" w:rsidRDefault="00B7145B" w:rsidP="00B7145B">
      <w:pPr>
        <w:autoSpaceDE w:val="0"/>
        <w:autoSpaceDN w:val="0"/>
        <w:adjustRightInd w:val="0"/>
        <w:spacing w:line="240" w:lineRule="atLeast"/>
        <w:jc w:val="center"/>
        <w:rPr>
          <w:rFonts w:ascii="Arial" w:hAnsi="Arial" w:cs="Arial"/>
          <w:b/>
          <w:bCs/>
          <w:color w:val="000000"/>
          <w:sz w:val="28"/>
        </w:rPr>
      </w:pPr>
    </w:p>
    <w:p w14:paraId="0BC79C41" w14:textId="77777777" w:rsidR="007272BB" w:rsidRDefault="007272BB" w:rsidP="00B7145B">
      <w:pPr>
        <w:autoSpaceDE w:val="0"/>
        <w:autoSpaceDN w:val="0"/>
        <w:adjustRightInd w:val="0"/>
        <w:spacing w:line="240" w:lineRule="atLeast"/>
        <w:jc w:val="center"/>
        <w:rPr>
          <w:rFonts w:ascii="Arial" w:hAnsi="Arial" w:cs="Arial"/>
          <w:b/>
          <w:bCs/>
          <w:color w:val="000000"/>
          <w:sz w:val="28"/>
        </w:rPr>
      </w:pPr>
    </w:p>
    <w:p w14:paraId="4F4AF34B" w14:textId="552E3CA5" w:rsidR="00FD390B" w:rsidRDefault="00FD390B"/>
    <w:sdt>
      <w:sdtPr>
        <w:rPr>
          <w:rFonts w:asciiTheme="minorHAnsi" w:eastAsiaTheme="minorHAnsi" w:hAnsiTheme="minorHAnsi" w:cstheme="minorBidi"/>
          <w:color w:val="auto"/>
          <w:sz w:val="40"/>
          <w:szCs w:val="22"/>
          <w:lang w:eastAsia="en-US"/>
        </w:rPr>
        <w:id w:val="-1277943398"/>
        <w:docPartObj>
          <w:docPartGallery w:val="Table of Contents"/>
          <w:docPartUnique/>
        </w:docPartObj>
      </w:sdtPr>
      <w:sdtEndPr>
        <w:rPr>
          <w:b/>
          <w:bCs/>
          <w:sz w:val="22"/>
        </w:rPr>
      </w:sdtEndPr>
      <w:sdtContent>
        <w:p w14:paraId="3EE63E7E" w14:textId="45017814" w:rsidR="006A3A0D" w:rsidRPr="00265A17" w:rsidRDefault="006A3A0D" w:rsidP="00265A17">
          <w:pPr>
            <w:pStyle w:val="Inhaltsverzeichnisberschrift"/>
            <w:rPr>
              <w:rFonts w:ascii="Arial" w:hAnsi="Arial" w:cs="Arial"/>
              <w:b/>
              <w:sz w:val="44"/>
              <w:szCs w:val="24"/>
            </w:rPr>
          </w:pPr>
          <w:r w:rsidRPr="00265A17">
            <w:rPr>
              <w:rFonts w:ascii="Arial" w:hAnsi="Arial" w:cs="Arial"/>
            </w:rPr>
            <w:t>Inhalt</w:t>
          </w:r>
          <w:r w:rsidR="00A0631B" w:rsidRPr="00265A17">
            <w:rPr>
              <w:rFonts w:ascii="Arial" w:hAnsi="Arial" w:cs="Arial"/>
            </w:rPr>
            <w:t>sverzeichnis</w:t>
          </w:r>
        </w:p>
        <w:p w14:paraId="47BB22E8" w14:textId="3C05059E" w:rsidR="00265A17" w:rsidRPr="00265A17" w:rsidRDefault="006A3A0D">
          <w:pPr>
            <w:pStyle w:val="Verzeichnis1"/>
            <w:tabs>
              <w:tab w:val="right" w:leader="dot" w:pos="9062"/>
            </w:tabs>
            <w:rPr>
              <w:rFonts w:ascii="Arial" w:eastAsiaTheme="minorEastAsia" w:hAnsi="Arial" w:cs="Arial"/>
              <w:noProof/>
              <w:lang w:eastAsia="de-DE"/>
            </w:rPr>
          </w:pPr>
          <w:r w:rsidRPr="00265A17">
            <w:rPr>
              <w:rFonts w:ascii="Arial" w:hAnsi="Arial" w:cs="Arial"/>
              <w:noProof/>
            </w:rPr>
            <w:fldChar w:fldCharType="begin"/>
          </w:r>
          <w:r w:rsidRPr="00265A17">
            <w:rPr>
              <w:rFonts w:ascii="Arial" w:hAnsi="Arial" w:cs="Arial"/>
              <w:noProof/>
            </w:rPr>
            <w:instrText xml:space="preserve"> TOC \o "1-3" \h \z \u </w:instrText>
          </w:r>
          <w:r w:rsidRPr="00265A17">
            <w:rPr>
              <w:rFonts w:ascii="Arial" w:hAnsi="Arial" w:cs="Arial"/>
              <w:noProof/>
            </w:rPr>
            <w:fldChar w:fldCharType="separate"/>
          </w:r>
          <w:hyperlink w:anchor="_Toc163114784" w:history="1">
            <w:r w:rsidR="00265A17" w:rsidRPr="00265A17">
              <w:rPr>
                <w:rStyle w:val="Hyperlink"/>
                <w:rFonts w:ascii="Arial" w:hAnsi="Arial" w:cs="Arial"/>
                <w:b/>
                <w:noProof/>
              </w:rPr>
              <w:t>Abkürzungsverzeichnis</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_Toc163114784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3</w:t>
            </w:r>
            <w:r w:rsidR="00265A17" w:rsidRPr="00265A17">
              <w:rPr>
                <w:rFonts w:ascii="Arial" w:hAnsi="Arial" w:cs="Arial"/>
                <w:noProof/>
                <w:webHidden/>
              </w:rPr>
              <w:fldChar w:fldCharType="end"/>
            </w:r>
          </w:hyperlink>
        </w:p>
        <w:p w14:paraId="7136F7E5" w14:textId="259416DE" w:rsidR="00265A17" w:rsidRPr="00265A17" w:rsidRDefault="00783722">
          <w:pPr>
            <w:pStyle w:val="Verzeichnis1"/>
            <w:tabs>
              <w:tab w:val="right" w:leader="dot" w:pos="9062"/>
            </w:tabs>
            <w:rPr>
              <w:rFonts w:ascii="Arial" w:eastAsiaTheme="minorEastAsia" w:hAnsi="Arial" w:cs="Arial"/>
              <w:noProof/>
              <w:lang w:eastAsia="de-DE"/>
            </w:rPr>
          </w:pPr>
          <w:hyperlink w:anchor="_Toc163114785" w:history="1">
            <w:r w:rsidR="00265A17" w:rsidRPr="00265A17">
              <w:rPr>
                <w:rStyle w:val="Hyperlink"/>
                <w:rFonts w:ascii="Arial" w:hAnsi="Arial" w:cs="Arial"/>
                <w:b/>
                <w:noProof/>
              </w:rPr>
              <w:t>1 Vorwort</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_Toc163114785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4</w:t>
            </w:r>
            <w:r w:rsidR="00265A17" w:rsidRPr="00265A17">
              <w:rPr>
                <w:rFonts w:ascii="Arial" w:hAnsi="Arial" w:cs="Arial"/>
                <w:noProof/>
                <w:webHidden/>
              </w:rPr>
              <w:fldChar w:fldCharType="end"/>
            </w:r>
          </w:hyperlink>
        </w:p>
        <w:p w14:paraId="64D10653" w14:textId="7B478C82" w:rsidR="00265A17" w:rsidRPr="00265A17" w:rsidRDefault="00783722">
          <w:pPr>
            <w:pStyle w:val="Verzeichnis1"/>
            <w:tabs>
              <w:tab w:val="right" w:leader="dot" w:pos="9062"/>
            </w:tabs>
            <w:rPr>
              <w:rFonts w:ascii="Arial" w:hAnsi="Arial" w:cs="Arial"/>
              <w:noProof/>
            </w:rPr>
          </w:pPr>
          <w:hyperlink w:anchor="_Toc163114786" w:history="1">
            <w:r w:rsidR="00265A17" w:rsidRPr="00265A17">
              <w:rPr>
                <w:rStyle w:val="Hyperlink"/>
                <w:rFonts w:ascii="Arial" w:hAnsi="Arial" w:cs="Arial"/>
                <w:b/>
                <w:noProof/>
              </w:rPr>
              <w:t>2 Allgemeines zur Statistikmeldung</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_Toc163114786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5</w:t>
            </w:r>
            <w:r w:rsidR="00265A17" w:rsidRPr="00265A17">
              <w:rPr>
                <w:rFonts w:ascii="Arial" w:hAnsi="Arial" w:cs="Arial"/>
                <w:noProof/>
                <w:webHidden/>
              </w:rPr>
              <w:fldChar w:fldCharType="end"/>
            </w:r>
          </w:hyperlink>
        </w:p>
        <w:p w14:paraId="41EC7AFD" w14:textId="6D4395AF" w:rsidR="00265A17" w:rsidRPr="00265A17" w:rsidRDefault="00783722" w:rsidP="00265A17">
          <w:pPr>
            <w:pStyle w:val="Verzeichnis2"/>
            <w:rPr>
              <w:rFonts w:eastAsiaTheme="minorEastAsia"/>
              <w:noProof/>
              <w:lang w:eastAsia="de-DE"/>
            </w:rPr>
          </w:pPr>
          <w:hyperlink w:anchor="_Toc163114787" w:history="1">
            <w:r w:rsidR="00265A17" w:rsidRPr="00265A17">
              <w:rPr>
                <w:rStyle w:val="Hyperlink"/>
                <w:rFonts w:ascii="Arial" w:hAnsi="Arial" w:cs="Arial"/>
                <w:bCs/>
                <w:noProof/>
              </w:rPr>
              <w:t>2.1 Fristverlängerungen</w:t>
            </w:r>
            <w:r w:rsidR="00265A17" w:rsidRPr="00265A17">
              <w:rPr>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_Toc163114787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5</w:t>
            </w:r>
            <w:r w:rsidR="00265A17" w:rsidRPr="00265A17">
              <w:rPr>
                <w:rFonts w:ascii="Arial" w:hAnsi="Arial" w:cs="Arial"/>
                <w:noProof/>
                <w:webHidden/>
              </w:rPr>
              <w:fldChar w:fldCharType="end"/>
            </w:r>
          </w:hyperlink>
        </w:p>
        <w:p w14:paraId="283717C6" w14:textId="51C110C2" w:rsidR="00265A17" w:rsidRPr="00265A17" w:rsidRDefault="00783722" w:rsidP="00265A17">
          <w:pPr>
            <w:pStyle w:val="Verzeichnis2"/>
            <w:rPr>
              <w:rFonts w:eastAsiaTheme="minorEastAsia"/>
              <w:noProof/>
              <w:lang w:eastAsia="de-DE"/>
            </w:rPr>
          </w:pPr>
          <w:hyperlink w:anchor="_Toc163114788" w:history="1">
            <w:r w:rsidR="00265A17" w:rsidRPr="00265A17">
              <w:rPr>
                <w:rStyle w:val="Hyperlink"/>
                <w:rFonts w:ascii="Arial" w:eastAsiaTheme="majorEastAsia" w:hAnsi="Arial" w:cs="Arial"/>
                <w:bCs/>
                <w:noProof/>
              </w:rPr>
              <w:t xml:space="preserve">2.2 </w:t>
            </w:r>
            <w:r w:rsidR="00265A17" w:rsidRPr="00265A17">
              <w:rPr>
                <w:rFonts w:ascii="Arial" w:hAnsi="Arial" w:cs="Arial"/>
                <w:noProof/>
              </w:rPr>
              <w:t>Bereichsabgrenzungen</w:t>
            </w:r>
            <w:r w:rsidR="00265A17" w:rsidRPr="00265A17">
              <w:rPr>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_Toc163114788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5</w:t>
            </w:r>
            <w:r w:rsidR="00265A17" w:rsidRPr="00265A17">
              <w:rPr>
                <w:rFonts w:ascii="Arial" w:hAnsi="Arial" w:cs="Arial"/>
                <w:noProof/>
                <w:webHidden/>
              </w:rPr>
              <w:fldChar w:fldCharType="end"/>
            </w:r>
          </w:hyperlink>
        </w:p>
        <w:p w14:paraId="6497D4EE" w14:textId="41777DA0" w:rsidR="00265A17" w:rsidRPr="00265A17" w:rsidRDefault="00783722">
          <w:pPr>
            <w:pStyle w:val="Verzeichnis1"/>
            <w:tabs>
              <w:tab w:val="right" w:leader="dot" w:pos="9062"/>
            </w:tabs>
            <w:rPr>
              <w:rFonts w:ascii="Arial" w:hAnsi="Arial" w:cs="Arial"/>
              <w:noProof/>
            </w:rPr>
          </w:pPr>
          <w:hyperlink w:anchor="_Toc163114789" w:history="1">
            <w:r w:rsidR="00265A17" w:rsidRPr="00265A17">
              <w:rPr>
                <w:rStyle w:val="Hyperlink"/>
                <w:rFonts w:ascii="Arial" w:hAnsi="Arial" w:cs="Arial"/>
                <w:b/>
                <w:noProof/>
              </w:rPr>
              <w:t>3 Datenübermittlung</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_Toc163114789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9</w:t>
            </w:r>
            <w:r w:rsidR="00265A17" w:rsidRPr="00265A17">
              <w:rPr>
                <w:rFonts w:ascii="Arial" w:hAnsi="Arial" w:cs="Arial"/>
                <w:noProof/>
                <w:webHidden/>
              </w:rPr>
              <w:fldChar w:fldCharType="end"/>
            </w:r>
          </w:hyperlink>
        </w:p>
        <w:p w14:paraId="2FD08BAC" w14:textId="6671D98C" w:rsidR="00265A17" w:rsidRPr="00265A17" w:rsidRDefault="00783722" w:rsidP="00265A17">
          <w:pPr>
            <w:pStyle w:val="Verzeichnis2"/>
            <w:rPr>
              <w:rFonts w:ascii="Arial" w:hAnsi="Arial" w:cs="Arial"/>
              <w:noProof/>
            </w:rPr>
          </w:pPr>
          <w:hyperlink w:anchor="_Toc163114790" w:history="1">
            <w:r w:rsidR="00265A17" w:rsidRPr="00265A17">
              <w:rPr>
                <w:rStyle w:val="Hyperlink"/>
                <w:rFonts w:ascii="Arial" w:eastAsiaTheme="majorEastAsia" w:hAnsi="Arial" w:cs="Arial"/>
                <w:bCs/>
                <w:noProof/>
              </w:rPr>
              <w:t>3.1 Über eStatistik.core</w:t>
            </w:r>
            <w:r w:rsidR="00265A17" w:rsidRPr="00265A17">
              <w:rPr>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_Toc163114790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9</w:t>
            </w:r>
            <w:r w:rsidR="00265A17" w:rsidRPr="00265A17">
              <w:rPr>
                <w:rFonts w:ascii="Arial" w:hAnsi="Arial" w:cs="Arial"/>
                <w:noProof/>
                <w:webHidden/>
              </w:rPr>
              <w:fldChar w:fldCharType="end"/>
            </w:r>
          </w:hyperlink>
        </w:p>
        <w:p w14:paraId="6E8B1DD3" w14:textId="78F06F0C" w:rsidR="00265A17" w:rsidRPr="00265A17" w:rsidRDefault="00783722" w:rsidP="00265A17">
          <w:pPr>
            <w:pStyle w:val="Verzeichnis2"/>
            <w:rPr>
              <w:rFonts w:eastAsiaTheme="minorEastAsia"/>
              <w:noProof/>
              <w:lang w:eastAsia="de-DE"/>
            </w:rPr>
          </w:pPr>
          <w:hyperlink w:anchor="_Toc163114791" w:history="1">
            <w:r w:rsidR="00265A17" w:rsidRPr="00265A17">
              <w:rPr>
                <w:rStyle w:val="Hyperlink"/>
                <w:rFonts w:ascii="Arial" w:eastAsiaTheme="majorEastAsia" w:hAnsi="Arial" w:cs="Arial"/>
                <w:bCs/>
                <w:noProof/>
              </w:rPr>
              <w:t>3.2 Über ekom21-KGRZ Hessen</w:t>
            </w:r>
            <w:r w:rsidR="00265A17" w:rsidRPr="00265A17">
              <w:rPr>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_Toc163114791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9</w:t>
            </w:r>
            <w:r w:rsidR="00265A17" w:rsidRPr="00265A17">
              <w:rPr>
                <w:rFonts w:ascii="Arial" w:hAnsi="Arial" w:cs="Arial"/>
                <w:noProof/>
                <w:webHidden/>
              </w:rPr>
              <w:fldChar w:fldCharType="end"/>
            </w:r>
          </w:hyperlink>
        </w:p>
        <w:p w14:paraId="6A040769" w14:textId="1A156C01" w:rsidR="00265A17" w:rsidRPr="00265A17" w:rsidRDefault="00783722">
          <w:pPr>
            <w:pStyle w:val="Verzeichnis1"/>
            <w:tabs>
              <w:tab w:val="right" w:leader="dot" w:pos="9062"/>
            </w:tabs>
            <w:rPr>
              <w:rFonts w:ascii="Arial" w:eastAsiaTheme="minorEastAsia" w:hAnsi="Arial" w:cs="Arial"/>
              <w:noProof/>
              <w:lang w:eastAsia="de-DE"/>
            </w:rPr>
          </w:pPr>
          <w:hyperlink w:anchor="_Toc163114792" w:history="1">
            <w:r w:rsidR="00265A17" w:rsidRPr="00265A17">
              <w:rPr>
                <w:rStyle w:val="Hyperlink"/>
                <w:rFonts w:ascii="Arial" w:hAnsi="Arial" w:cs="Arial"/>
                <w:b/>
                <w:noProof/>
              </w:rPr>
              <w:t>4 Hinweise zu Ein- und Auszahlungen</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_Toc163114792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10</w:t>
            </w:r>
            <w:r w:rsidR="00265A17" w:rsidRPr="00265A17">
              <w:rPr>
                <w:rFonts w:ascii="Arial" w:hAnsi="Arial" w:cs="Arial"/>
                <w:noProof/>
                <w:webHidden/>
              </w:rPr>
              <w:fldChar w:fldCharType="end"/>
            </w:r>
          </w:hyperlink>
        </w:p>
        <w:p w14:paraId="379D2661" w14:textId="57695408" w:rsidR="00265A17" w:rsidRPr="00265A17" w:rsidRDefault="00783722" w:rsidP="00265A17">
          <w:pPr>
            <w:pStyle w:val="Verzeichnis2"/>
            <w:rPr>
              <w:rFonts w:eastAsiaTheme="minorEastAsia"/>
              <w:noProof/>
              <w:lang w:eastAsia="de-DE"/>
            </w:rPr>
          </w:pPr>
          <w:hyperlink w:anchor="_Toc163114793" w:history="1">
            <w:r w:rsidR="00265A17" w:rsidRPr="00265A17">
              <w:rPr>
                <w:rStyle w:val="Hyperlink"/>
                <w:rFonts w:ascii="Arial" w:eastAsiaTheme="majorEastAsia" w:hAnsi="Arial" w:cs="Arial"/>
                <w:bCs/>
                <w:noProof/>
              </w:rPr>
              <w:t>4.1 Verwahr- und Vorschusskonten/durchlaufende Gelder</w:t>
            </w:r>
            <w:r w:rsidR="00265A17" w:rsidRPr="00265A17">
              <w:rPr>
                <w:noProof/>
                <w:webHidden/>
              </w:rPr>
              <w:tab/>
            </w:r>
            <w:r w:rsidR="00265A17" w:rsidRPr="00265A17">
              <w:rPr>
                <w:noProof/>
                <w:webHidden/>
              </w:rPr>
              <w:fldChar w:fldCharType="begin"/>
            </w:r>
            <w:r w:rsidR="00265A17" w:rsidRPr="00265A17">
              <w:rPr>
                <w:noProof/>
                <w:webHidden/>
              </w:rPr>
              <w:instrText xml:space="preserve"> PAGEREF _Toc163114793 \h </w:instrText>
            </w:r>
            <w:r w:rsidR="00265A17" w:rsidRPr="00265A17">
              <w:rPr>
                <w:noProof/>
                <w:webHidden/>
              </w:rPr>
            </w:r>
            <w:r w:rsidR="00265A17" w:rsidRPr="00265A17">
              <w:rPr>
                <w:noProof/>
                <w:webHidden/>
              </w:rPr>
              <w:fldChar w:fldCharType="separate"/>
            </w:r>
            <w:r w:rsidR="00C22A1C">
              <w:rPr>
                <w:noProof/>
                <w:webHidden/>
              </w:rPr>
              <w:t>10</w:t>
            </w:r>
            <w:r w:rsidR="00265A17" w:rsidRPr="00265A17">
              <w:rPr>
                <w:noProof/>
                <w:webHidden/>
              </w:rPr>
              <w:fldChar w:fldCharType="end"/>
            </w:r>
          </w:hyperlink>
        </w:p>
        <w:p w14:paraId="22D62BE9" w14:textId="0E4CD09A" w:rsidR="00265A17" w:rsidRPr="00265A17" w:rsidRDefault="00783722" w:rsidP="00265A17">
          <w:pPr>
            <w:pStyle w:val="Verzeichnis2"/>
            <w:rPr>
              <w:rFonts w:eastAsiaTheme="minorEastAsia"/>
              <w:noProof/>
              <w:lang w:eastAsia="de-DE"/>
            </w:rPr>
          </w:pPr>
          <w:hyperlink w:anchor="_Toc163114794" w:history="1">
            <w:r w:rsidR="00265A17" w:rsidRPr="00265A17">
              <w:rPr>
                <w:rStyle w:val="Hyperlink"/>
                <w:rFonts w:ascii="Arial" w:eastAsiaTheme="majorEastAsia" w:hAnsi="Arial" w:cs="Arial"/>
                <w:bCs/>
                <w:noProof/>
              </w:rPr>
              <w:t>4.2 Meldung der Umlage von Mitgliedskommunen</w:t>
            </w:r>
            <w:r w:rsidR="00265A17" w:rsidRPr="00265A17">
              <w:rPr>
                <w:noProof/>
                <w:webHidden/>
              </w:rPr>
              <w:tab/>
            </w:r>
            <w:r w:rsidR="00265A17" w:rsidRPr="00265A17">
              <w:rPr>
                <w:noProof/>
                <w:webHidden/>
              </w:rPr>
              <w:fldChar w:fldCharType="begin"/>
            </w:r>
            <w:r w:rsidR="00265A17" w:rsidRPr="00265A17">
              <w:rPr>
                <w:noProof/>
                <w:webHidden/>
              </w:rPr>
              <w:instrText xml:space="preserve"> PAGEREF _Toc163114794 \h </w:instrText>
            </w:r>
            <w:r w:rsidR="00265A17" w:rsidRPr="00265A17">
              <w:rPr>
                <w:noProof/>
                <w:webHidden/>
              </w:rPr>
            </w:r>
            <w:r w:rsidR="00265A17" w:rsidRPr="00265A17">
              <w:rPr>
                <w:noProof/>
                <w:webHidden/>
              </w:rPr>
              <w:fldChar w:fldCharType="separate"/>
            </w:r>
            <w:r w:rsidR="00C22A1C">
              <w:rPr>
                <w:noProof/>
                <w:webHidden/>
              </w:rPr>
              <w:t>10</w:t>
            </w:r>
            <w:r w:rsidR="00265A17" w:rsidRPr="00265A17">
              <w:rPr>
                <w:noProof/>
                <w:webHidden/>
              </w:rPr>
              <w:fldChar w:fldCharType="end"/>
            </w:r>
          </w:hyperlink>
        </w:p>
        <w:p w14:paraId="0D5F46DD" w14:textId="0167F4D1" w:rsidR="00265A17" w:rsidRPr="00265A17" w:rsidRDefault="00783722">
          <w:pPr>
            <w:pStyle w:val="Verzeichnis1"/>
            <w:tabs>
              <w:tab w:val="right" w:leader="dot" w:pos="9062"/>
            </w:tabs>
            <w:rPr>
              <w:rFonts w:ascii="Arial" w:eastAsiaTheme="minorEastAsia" w:hAnsi="Arial" w:cs="Arial"/>
              <w:noProof/>
              <w:lang w:eastAsia="de-DE"/>
            </w:rPr>
          </w:pPr>
          <w:hyperlink w:anchor="_Toc163114795" w:history="1">
            <w:r w:rsidR="00265A17" w:rsidRPr="00265A17">
              <w:rPr>
                <w:rStyle w:val="Hyperlink"/>
                <w:rFonts w:ascii="Arial" w:hAnsi="Arial" w:cs="Arial"/>
                <w:b/>
                <w:noProof/>
              </w:rPr>
              <w:t>5 Hinweise zu den Verbindlichkeiten</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_Toc163114795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11</w:t>
            </w:r>
            <w:r w:rsidR="00265A17" w:rsidRPr="00265A17">
              <w:rPr>
                <w:rFonts w:ascii="Arial" w:hAnsi="Arial" w:cs="Arial"/>
                <w:noProof/>
                <w:webHidden/>
              </w:rPr>
              <w:fldChar w:fldCharType="end"/>
            </w:r>
          </w:hyperlink>
        </w:p>
        <w:p w14:paraId="1B2E4F20" w14:textId="68A1B0E6" w:rsidR="00265A17" w:rsidRPr="00265A17" w:rsidRDefault="00783722">
          <w:pPr>
            <w:pStyle w:val="Verzeichnis1"/>
            <w:tabs>
              <w:tab w:val="right" w:leader="dot" w:pos="9062"/>
            </w:tabs>
            <w:rPr>
              <w:rFonts w:ascii="Arial" w:eastAsiaTheme="minorEastAsia" w:hAnsi="Arial" w:cs="Arial"/>
              <w:noProof/>
              <w:lang w:eastAsia="de-DE"/>
            </w:rPr>
          </w:pPr>
          <w:hyperlink w:anchor="_Toc163114796" w:history="1">
            <w:r w:rsidR="00265A17" w:rsidRPr="00265A17">
              <w:rPr>
                <w:rStyle w:val="Hyperlink"/>
                <w:rFonts w:ascii="Arial" w:hAnsi="Arial" w:cs="Arial"/>
                <w:b/>
                <w:noProof/>
              </w:rPr>
              <w:t>6 Hinweise zu den Finanziellen Transaktionen</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_Toc163114796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12</w:t>
            </w:r>
            <w:r w:rsidR="00265A17" w:rsidRPr="00265A17">
              <w:rPr>
                <w:rFonts w:ascii="Arial" w:hAnsi="Arial" w:cs="Arial"/>
                <w:noProof/>
                <w:webHidden/>
              </w:rPr>
              <w:fldChar w:fldCharType="end"/>
            </w:r>
          </w:hyperlink>
        </w:p>
        <w:p w14:paraId="516DDB5B" w14:textId="2EEC6DFB" w:rsidR="00265A17" w:rsidRPr="00265A17" w:rsidRDefault="00783722">
          <w:pPr>
            <w:pStyle w:val="Verzeichnis1"/>
            <w:tabs>
              <w:tab w:val="right" w:leader="dot" w:pos="9062"/>
            </w:tabs>
            <w:rPr>
              <w:rFonts w:ascii="Arial" w:eastAsiaTheme="minorEastAsia" w:hAnsi="Arial" w:cs="Arial"/>
              <w:noProof/>
              <w:lang w:eastAsia="de-DE"/>
            </w:rPr>
          </w:pPr>
          <w:hyperlink w:anchor="_Toc163114801" w:history="1">
            <w:r w:rsidR="00265A17" w:rsidRPr="00265A17">
              <w:rPr>
                <w:rStyle w:val="Hyperlink"/>
                <w:rFonts w:ascii="Arial" w:hAnsi="Arial" w:cs="Arial"/>
                <w:b/>
                <w:noProof/>
              </w:rPr>
              <w:t>7 Gesetzliche Grundlagen</w:t>
            </w:r>
            <w:r w:rsidR="00265A17" w:rsidRPr="00265A17">
              <w:rPr>
                <w:rFonts w:ascii="Arial" w:hAnsi="Arial" w:cs="Arial"/>
                <w:noProof/>
                <w:webHidden/>
              </w:rPr>
              <w:tab/>
            </w:r>
            <w:r w:rsidR="00265A17" w:rsidRPr="00265A17">
              <w:rPr>
                <w:rFonts w:ascii="Arial" w:hAnsi="Arial" w:cs="Arial"/>
                <w:noProof/>
                <w:webHidden/>
              </w:rPr>
              <w:fldChar w:fldCharType="begin"/>
            </w:r>
            <w:r w:rsidR="00265A17" w:rsidRPr="00265A17">
              <w:rPr>
                <w:rFonts w:ascii="Arial" w:hAnsi="Arial" w:cs="Arial"/>
                <w:noProof/>
                <w:webHidden/>
              </w:rPr>
              <w:instrText xml:space="preserve"> PAGEREF _Toc163114801 \h </w:instrText>
            </w:r>
            <w:r w:rsidR="00265A17" w:rsidRPr="00265A17">
              <w:rPr>
                <w:rFonts w:ascii="Arial" w:hAnsi="Arial" w:cs="Arial"/>
                <w:noProof/>
                <w:webHidden/>
              </w:rPr>
            </w:r>
            <w:r w:rsidR="00265A17" w:rsidRPr="00265A17">
              <w:rPr>
                <w:rFonts w:ascii="Arial" w:hAnsi="Arial" w:cs="Arial"/>
                <w:noProof/>
                <w:webHidden/>
              </w:rPr>
              <w:fldChar w:fldCharType="separate"/>
            </w:r>
            <w:r w:rsidR="00C22A1C">
              <w:rPr>
                <w:rFonts w:ascii="Arial" w:hAnsi="Arial" w:cs="Arial"/>
                <w:noProof/>
                <w:webHidden/>
              </w:rPr>
              <w:t>17</w:t>
            </w:r>
            <w:r w:rsidR="00265A17" w:rsidRPr="00265A17">
              <w:rPr>
                <w:rFonts w:ascii="Arial" w:hAnsi="Arial" w:cs="Arial"/>
                <w:noProof/>
                <w:webHidden/>
              </w:rPr>
              <w:fldChar w:fldCharType="end"/>
            </w:r>
          </w:hyperlink>
        </w:p>
        <w:p w14:paraId="411DDF88" w14:textId="022E5D3A" w:rsidR="006A3A0D" w:rsidRDefault="006A3A0D">
          <w:r w:rsidRPr="00265A17">
            <w:rPr>
              <w:rFonts w:ascii="Arial" w:hAnsi="Arial" w:cs="Arial"/>
              <w:b/>
              <w:bCs/>
            </w:rPr>
            <w:fldChar w:fldCharType="end"/>
          </w:r>
        </w:p>
      </w:sdtContent>
    </w:sdt>
    <w:p w14:paraId="4BC7307C" w14:textId="77777777" w:rsidR="0046389F" w:rsidRDefault="008523CE" w:rsidP="008523CE">
      <w:pPr>
        <w:spacing w:after="160" w:line="259" w:lineRule="auto"/>
      </w:pPr>
      <w:r>
        <w:br w:type="page"/>
      </w:r>
    </w:p>
    <w:p w14:paraId="7BCB72C4" w14:textId="5236370B" w:rsidR="0046389F" w:rsidRPr="00A0631B" w:rsidRDefault="0046389F" w:rsidP="00631BFF">
      <w:pPr>
        <w:pStyle w:val="berschrift1"/>
        <w:spacing w:before="0" w:line="240" w:lineRule="atLeast"/>
        <w:jc w:val="center"/>
        <w:rPr>
          <w:rFonts w:ascii="Arial" w:hAnsi="Arial" w:cs="Arial"/>
          <w:b/>
          <w:color w:val="0A3776"/>
          <w:szCs w:val="26"/>
        </w:rPr>
      </w:pPr>
      <w:bookmarkStart w:id="1" w:name="_Toc129756730"/>
      <w:bookmarkStart w:id="2" w:name="_Toc163114784"/>
      <w:r w:rsidRPr="00A0631B">
        <w:rPr>
          <w:rFonts w:ascii="Arial" w:hAnsi="Arial" w:cs="Arial"/>
          <w:b/>
          <w:color w:val="0A3776"/>
          <w:szCs w:val="26"/>
        </w:rPr>
        <w:lastRenderedPageBreak/>
        <w:t>Abkürzungsverzeichnis</w:t>
      </w:r>
      <w:bookmarkEnd w:id="1"/>
      <w:bookmarkEnd w:id="2"/>
    </w:p>
    <w:p w14:paraId="46FEC13D" w14:textId="77777777" w:rsidR="0046389F" w:rsidRPr="00EA79FE" w:rsidRDefault="0046389F" w:rsidP="0046389F">
      <w:pPr>
        <w:spacing w:line="240" w:lineRule="atLeast"/>
        <w:rPr>
          <w:rFonts w:ascii="Arial" w:hAnsi="Arial" w:cs="Arial"/>
        </w:rPr>
      </w:pPr>
      <w:r w:rsidRPr="00EA79FE">
        <w:rPr>
          <w:rFonts w:ascii="Arial" w:hAnsi="Arial" w:cs="Arial"/>
        </w:rPr>
        <w:tab/>
      </w:r>
      <w:r w:rsidRPr="00EA79FE">
        <w:rPr>
          <w:rFonts w:ascii="Arial" w:hAnsi="Arial" w:cs="Arial"/>
        </w:rPr>
        <w:tab/>
      </w:r>
    </w:p>
    <w:p w14:paraId="36481AB3" w14:textId="77777777" w:rsidR="0046389F" w:rsidRPr="00265A17" w:rsidRDefault="0046389F" w:rsidP="0046389F">
      <w:pPr>
        <w:spacing w:line="240" w:lineRule="atLeast"/>
        <w:rPr>
          <w:rFonts w:ascii="Arial" w:hAnsi="Arial" w:cs="Arial"/>
        </w:rPr>
      </w:pPr>
      <w:r w:rsidRPr="00265A17">
        <w:rPr>
          <w:rFonts w:ascii="Arial" w:hAnsi="Arial" w:cs="Arial"/>
        </w:rPr>
        <w:t>ABI</w:t>
      </w:r>
      <w:r w:rsidRPr="00265A17">
        <w:rPr>
          <w:rFonts w:ascii="Arial" w:hAnsi="Arial" w:cs="Arial"/>
        </w:rPr>
        <w:tab/>
      </w:r>
      <w:r w:rsidRPr="00265A17">
        <w:rPr>
          <w:rFonts w:ascii="Arial" w:hAnsi="Arial" w:cs="Arial"/>
        </w:rPr>
        <w:tab/>
        <w:t>Amtsblatt</w:t>
      </w:r>
    </w:p>
    <w:p w14:paraId="1C471850" w14:textId="77777777" w:rsidR="0046389F" w:rsidRPr="00265A17" w:rsidRDefault="0046389F" w:rsidP="0046389F">
      <w:pPr>
        <w:spacing w:line="240" w:lineRule="atLeast"/>
        <w:rPr>
          <w:rFonts w:ascii="Arial" w:hAnsi="Arial" w:cs="Arial"/>
        </w:rPr>
      </w:pPr>
      <w:r w:rsidRPr="00265A17">
        <w:rPr>
          <w:rFonts w:ascii="Arial" w:hAnsi="Arial" w:cs="Arial"/>
        </w:rPr>
        <w:t>BGBl.</w:t>
      </w:r>
      <w:r w:rsidRPr="00265A17">
        <w:rPr>
          <w:rFonts w:ascii="Arial" w:hAnsi="Arial" w:cs="Arial"/>
        </w:rPr>
        <w:tab/>
      </w:r>
      <w:r w:rsidRPr="00265A17">
        <w:rPr>
          <w:rFonts w:ascii="Arial" w:hAnsi="Arial" w:cs="Arial"/>
        </w:rPr>
        <w:tab/>
        <w:t>Bundesgesetzblatt</w:t>
      </w:r>
    </w:p>
    <w:p w14:paraId="6E7C81C9" w14:textId="77777777" w:rsidR="0046389F" w:rsidRPr="00265A17" w:rsidRDefault="0046389F" w:rsidP="0046389F">
      <w:pPr>
        <w:spacing w:line="240" w:lineRule="atLeast"/>
        <w:rPr>
          <w:rFonts w:ascii="Arial" w:hAnsi="Arial" w:cs="Arial"/>
        </w:rPr>
      </w:pPr>
      <w:r w:rsidRPr="00265A17">
        <w:rPr>
          <w:rFonts w:ascii="Arial" w:hAnsi="Arial" w:cs="Arial"/>
        </w:rPr>
        <w:t>BStatG</w:t>
      </w:r>
      <w:r w:rsidRPr="00265A17">
        <w:rPr>
          <w:rFonts w:ascii="Arial" w:hAnsi="Arial" w:cs="Arial"/>
        </w:rPr>
        <w:tab/>
        <w:t>Bundesstatistikgesetz</w:t>
      </w:r>
      <w:r w:rsidRPr="00265A17">
        <w:rPr>
          <w:rFonts w:ascii="Arial" w:hAnsi="Arial" w:cs="Arial"/>
        </w:rPr>
        <w:tab/>
      </w:r>
    </w:p>
    <w:p w14:paraId="398BFC39" w14:textId="77777777" w:rsidR="0046389F" w:rsidRPr="00265A17" w:rsidRDefault="0046389F" w:rsidP="0046389F">
      <w:pPr>
        <w:spacing w:line="240" w:lineRule="atLeast"/>
        <w:rPr>
          <w:rFonts w:ascii="Arial" w:hAnsi="Arial" w:cs="Arial"/>
        </w:rPr>
      </w:pPr>
      <w:r w:rsidRPr="00265A17">
        <w:rPr>
          <w:rFonts w:ascii="Arial" w:hAnsi="Arial" w:cs="Arial"/>
        </w:rPr>
        <w:t>EG</w:t>
      </w:r>
      <w:r w:rsidRPr="00265A17">
        <w:rPr>
          <w:rFonts w:ascii="Arial" w:hAnsi="Arial" w:cs="Arial"/>
        </w:rPr>
        <w:tab/>
      </w:r>
      <w:r w:rsidRPr="00265A17">
        <w:rPr>
          <w:rFonts w:ascii="Arial" w:hAnsi="Arial" w:cs="Arial"/>
        </w:rPr>
        <w:tab/>
        <w:t>Europäische Gemeinschaft</w:t>
      </w:r>
    </w:p>
    <w:p w14:paraId="4A57E874" w14:textId="77777777" w:rsidR="0046389F" w:rsidRPr="00265A17" w:rsidRDefault="0046389F" w:rsidP="0046389F">
      <w:pPr>
        <w:spacing w:line="240" w:lineRule="atLeast"/>
        <w:rPr>
          <w:rFonts w:ascii="Arial" w:hAnsi="Arial" w:cs="Arial"/>
        </w:rPr>
      </w:pPr>
      <w:r w:rsidRPr="00265A17">
        <w:rPr>
          <w:rFonts w:ascii="Arial" w:hAnsi="Arial" w:cs="Arial"/>
        </w:rPr>
        <w:t>EU</w:t>
      </w:r>
      <w:r w:rsidRPr="00265A17">
        <w:rPr>
          <w:rFonts w:ascii="Arial" w:hAnsi="Arial" w:cs="Arial"/>
        </w:rPr>
        <w:tab/>
      </w:r>
      <w:r w:rsidRPr="00265A17">
        <w:rPr>
          <w:rFonts w:ascii="Arial" w:hAnsi="Arial" w:cs="Arial"/>
        </w:rPr>
        <w:tab/>
        <w:t>Europäische Union</w:t>
      </w:r>
    </w:p>
    <w:p w14:paraId="297D8A80" w14:textId="77777777" w:rsidR="0046389F" w:rsidRPr="00265A17" w:rsidRDefault="0046389F" w:rsidP="0046389F">
      <w:pPr>
        <w:spacing w:line="240" w:lineRule="atLeast"/>
        <w:rPr>
          <w:rFonts w:ascii="Arial" w:hAnsi="Arial" w:cs="Arial"/>
        </w:rPr>
      </w:pPr>
      <w:r w:rsidRPr="00265A17">
        <w:rPr>
          <w:rFonts w:ascii="Arial" w:hAnsi="Arial" w:cs="Arial"/>
        </w:rPr>
        <w:t>FPStatG</w:t>
      </w:r>
      <w:r w:rsidRPr="00265A17">
        <w:rPr>
          <w:rFonts w:ascii="Arial" w:hAnsi="Arial" w:cs="Arial"/>
        </w:rPr>
        <w:tab/>
        <w:t>Finanz- und Personalstatistikgesetz</w:t>
      </w:r>
    </w:p>
    <w:p w14:paraId="50371A9A" w14:textId="77777777" w:rsidR="0046389F" w:rsidRPr="00265A17" w:rsidRDefault="0046389F" w:rsidP="0046389F">
      <w:pPr>
        <w:spacing w:line="240" w:lineRule="atLeast"/>
        <w:rPr>
          <w:rFonts w:ascii="Arial" w:hAnsi="Arial" w:cs="Arial"/>
        </w:rPr>
      </w:pPr>
      <w:r w:rsidRPr="00265A17">
        <w:rPr>
          <w:rFonts w:ascii="Arial" w:hAnsi="Arial" w:cs="Arial"/>
        </w:rPr>
        <w:t>Gem./Gv.</w:t>
      </w:r>
      <w:r w:rsidRPr="00265A17">
        <w:rPr>
          <w:rFonts w:ascii="Arial" w:hAnsi="Arial" w:cs="Arial"/>
        </w:rPr>
        <w:tab/>
        <w:t>Gemeinden/Gemeindeverbände</w:t>
      </w:r>
      <w:r w:rsidRPr="00265A17">
        <w:rPr>
          <w:rFonts w:ascii="Arial" w:hAnsi="Arial" w:cs="Arial"/>
        </w:rPr>
        <w:tab/>
      </w:r>
    </w:p>
    <w:p w14:paraId="6D04786F" w14:textId="681C909B" w:rsidR="0046389F" w:rsidRPr="00265A17" w:rsidRDefault="0046389F" w:rsidP="0046389F">
      <w:pPr>
        <w:spacing w:line="240" w:lineRule="atLeast"/>
        <w:rPr>
          <w:rFonts w:ascii="Arial" w:hAnsi="Arial" w:cs="Arial"/>
        </w:rPr>
      </w:pPr>
      <w:r w:rsidRPr="00265A17">
        <w:rPr>
          <w:rFonts w:ascii="Arial" w:hAnsi="Arial" w:cs="Arial"/>
        </w:rPr>
        <w:t>GemHVO</w:t>
      </w:r>
      <w:r w:rsidRPr="00265A17">
        <w:rPr>
          <w:rFonts w:ascii="Arial" w:hAnsi="Arial" w:cs="Arial"/>
        </w:rPr>
        <w:tab/>
        <w:t>Gemeindehaushaltsverordnung</w:t>
      </w:r>
    </w:p>
    <w:p w14:paraId="2AE48232" w14:textId="59BA0C2C" w:rsidR="00540F17" w:rsidRPr="00265A17" w:rsidRDefault="00540F17" w:rsidP="0046389F">
      <w:pPr>
        <w:spacing w:line="240" w:lineRule="atLeast"/>
        <w:rPr>
          <w:rFonts w:ascii="Arial" w:hAnsi="Arial" w:cs="Arial"/>
        </w:rPr>
      </w:pPr>
      <w:r w:rsidRPr="00265A17">
        <w:rPr>
          <w:rFonts w:ascii="Arial" w:hAnsi="Arial" w:cs="Arial"/>
        </w:rPr>
        <w:t>HLG</w:t>
      </w:r>
      <w:r w:rsidRPr="00265A17">
        <w:rPr>
          <w:rFonts w:ascii="Arial" w:hAnsi="Arial" w:cs="Arial"/>
        </w:rPr>
        <w:tab/>
      </w:r>
      <w:r w:rsidRPr="00265A17">
        <w:rPr>
          <w:rFonts w:ascii="Arial" w:hAnsi="Arial" w:cs="Arial"/>
        </w:rPr>
        <w:tab/>
        <w:t>Hessische Landgesellschaft</w:t>
      </w:r>
    </w:p>
    <w:p w14:paraId="45703CCB" w14:textId="77777777" w:rsidR="0046389F" w:rsidRPr="00265A17" w:rsidRDefault="0046389F" w:rsidP="0046389F">
      <w:pPr>
        <w:spacing w:line="240" w:lineRule="atLeast"/>
        <w:rPr>
          <w:rFonts w:ascii="Arial" w:hAnsi="Arial" w:cs="Arial"/>
        </w:rPr>
      </w:pPr>
      <w:r w:rsidRPr="00265A17">
        <w:rPr>
          <w:rFonts w:ascii="Arial" w:hAnsi="Arial" w:cs="Arial"/>
        </w:rPr>
        <w:t>HSGB</w:t>
      </w:r>
      <w:r w:rsidRPr="00265A17">
        <w:rPr>
          <w:rFonts w:ascii="Arial" w:hAnsi="Arial" w:cs="Arial"/>
        </w:rPr>
        <w:tab/>
      </w:r>
      <w:r w:rsidRPr="00265A17">
        <w:rPr>
          <w:rFonts w:ascii="Arial" w:hAnsi="Arial" w:cs="Arial"/>
        </w:rPr>
        <w:tab/>
        <w:t>Hessischer Städte- und Gemeindebund</w:t>
      </w:r>
    </w:p>
    <w:p w14:paraId="0C0B9317" w14:textId="77777777" w:rsidR="0046389F" w:rsidRPr="00265A17" w:rsidRDefault="0046389F" w:rsidP="0046389F">
      <w:pPr>
        <w:spacing w:line="240" w:lineRule="atLeast"/>
        <w:rPr>
          <w:rFonts w:ascii="Arial" w:hAnsi="Arial" w:cs="Arial"/>
        </w:rPr>
      </w:pPr>
      <w:r w:rsidRPr="00265A17">
        <w:rPr>
          <w:rFonts w:ascii="Arial" w:hAnsi="Arial" w:cs="Arial"/>
        </w:rPr>
        <w:t>IWF</w:t>
      </w:r>
      <w:r w:rsidRPr="00265A17">
        <w:rPr>
          <w:rFonts w:ascii="Arial" w:hAnsi="Arial" w:cs="Arial"/>
        </w:rPr>
        <w:tab/>
      </w:r>
      <w:r w:rsidRPr="00265A17">
        <w:rPr>
          <w:rFonts w:ascii="Arial" w:hAnsi="Arial" w:cs="Arial"/>
        </w:rPr>
        <w:tab/>
        <w:t>Internationaler Währungsfonds</w:t>
      </w:r>
    </w:p>
    <w:p w14:paraId="33168A96" w14:textId="2012DC44" w:rsidR="0046389F" w:rsidRPr="00265A17" w:rsidRDefault="0046389F" w:rsidP="0046389F">
      <w:pPr>
        <w:spacing w:line="240" w:lineRule="atLeast"/>
        <w:rPr>
          <w:rFonts w:ascii="Arial" w:hAnsi="Arial" w:cs="Arial"/>
        </w:rPr>
      </w:pPr>
      <w:r w:rsidRPr="00265A17">
        <w:rPr>
          <w:rFonts w:ascii="Arial" w:hAnsi="Arial" w:cs="Arial"/>
        </w:rPr>
        <w:t>KA</w:t>
      </w:r>
      <w:r w:rsidRPr="00265A17">
        <w:rPr>
          <w:rFonts w:ascii="Arial" w:hAnsi="Arial" w:cs="Arial"/>
        </w:rPr>
        <w:tab/>
      </w:r>
      <w:r w:rsidRPr="00265A17">
        <w:rPr>
          <w:rFonts w:ascii="Arial" w:hAnsi="Arial" w:cs="Arial"/>
        </w:rPr>
        <w:tab/>
      </w:r>
      <w:r w:rsidR="00430523" w:rsidRPr="00265A17">
        <w:rPr>
          <w:rFonts w:ascii="Arial" w:hAnsi="Arial" w:cs="Arial"/>
        </w:rPr>
        <w:t>K</w:t>
      </w:r>
      <w:r w:rsidRPr="00265A17">
        <w:rPr>
          <w:rFonts w:ascii="Arial" w:hAnsi="Arial" w:cs="Arial"/>
        </w:rPr>
        <w:t>reisangehörige Gemeinden (inkl. Sonderstatusstädte)</w:t>
      </w:r>
    </w:p>
    <w:p w14:paraId="682CF864" w14:textId="30B6881F" w:rsidR="0046389F" w:rsidRPr="00265A17" w:rsidRDefault="0046389F" w:rsidP="0046389F">
      <w:pPr>
        <w:spacing w:line="240" w:lineRule="atLeast"/>
        <w:rPr>
          <w:rFonts w:ascii="Arial" w:hAnsi="Arial" w:cs="Arial"/>
        </w:rPr>
      </w:pPr>
      <w:r w:rsidRPr="00265A17">
        <w:rPr>
          <w:rFonts w:ascii="Arial" w:hAnsi="Arial" w:cs="Arial"/>
        </w:rPr>
        <w:t>KFS</w:t>
      </w:r>
      <w:r w:rsidRPr="00265A17">
        <w:rPr>
          <w:rFonts w:ascii="Arial" w:hAnsi="Arial" w:cs="Arial"/>
        </w:rPr>
        <w:tab/>
      </w:r>
      <w:r w:rsidRPr="00265A17">
        <w:rPr>
          <w:rFonts w:ascii="Arial" w:hAnsi="Arial" w:cs="Arial"/>
        </w:rPr>
        <w:tab/>
      </w:r>
      <w:r w:rsidR="0044737F" w:rsidRPr="00265A17">
        <w:rPr>
          <w:rFonts w:ascii="Arial" w:hAnsi="Arial" w:cs="Arial"/>
        </w:rPr>
        <w:t>K</w:t>
      </w:r>
      <w:r w:rsidRPr="00265A17">
        <w:rPr>
          <w:rFonts w:ascii="Arial" w:hAnsi="Arial" w:cs="Arial"/>
        </w:rPr>
        <w:t>reisfreie Städte</w:t>
      </w:r>
    </w:p>
    <w:p w14:paraId="2041FDAF" w14:textId="77777777" w:rsidR="0046389F" w:rsidRPr="00265A17" w:rsidRDefault="0046389F" w:rsidP="0046389F">
      <w:pPr>
        <w:spacing w:line="240" w:lineRule="atLeast"/>
        <w:rPr>
          <w:rFonts w:ascii="Arial" w:hAnsi="Arial" w:cs="Arial"/>
        </w:rPr>
      </w:pPr>
      <w:r w:rsidRPr="00265A17">
        <w:rPr>
          <w:rFonts w:ascii="Arial" w:hAnsi="Arial" w:cs="Arial"/>
        </w:rPr>
        <w:t>KGRZ</w:t>
      </w:r>
      <w:r w:rsidRPr="00265A17">
        <w:rPr>
          <w:rFonts w:ascii="Arial" w:hAnsi="Arial" w:cs="Arial"/>
        </w:rPr>
        <w:tab/>
      </w:r>
      <w:r w:rsidRPr="00265A17">
        <w:rPr>
          <w:rFonts w:ascii="Arial" w:hAnsi="Arial" w:cs="Arial"/>
        </w:rPr>
        <w:tab/>
        <w:t>Kommunales Gebietsrechenzentrum</w:t>
      </w:r>
    </w:p>
    <w:p w14:paraId="1EADD587" w14:textId="77777777" w:rsidR="0046389F" w:rsidRPr="00265A17" w:rsidRDefault="0046389F" w:rsidP="0046389F">
      <w:pPr>
        <w:spacing w:line="240" w:lineRule="atLeast"/>
        <w:rPr>
          <w:rFonts w:ascii="Arial" w:hAnsi="Arial" w:cs="Arial"/>
        </w:rPr>
      </w:pPr>
      <w:r w:rsidRPr="00265A17">
        <w:rPr>
          <w:rFonts w:ascii="Arial" w:hAnsi="Arial" w:cs="Arial"/>
        </w:rPr>
        <w:t>KVKR</w:t>
      </w:r>
      <w:r w:rsidRPr="00265A17">
        <w:rPr>
          <w:rFonts w:ascii="Arial" w:hAnsi="Arial" w:cs="Arial"/>
        </w:rPr>
        <w:tab/>
      </w:r>
      <w:r w:rsidRPr="00265A17">
        <w:rPr>
          <w:rFonts w:ascii="Arial" w:hAnsi="Arial" w:cs="Arial"/>
        </w:rPr>
        <w:tab/>
        <w:t>Kommunaler Verwaltungskontenrahmen</w:t>
      </w:r>
    </w:p>
    <w:p w14:paraId="0DE5634E" w14:textId="77777777" w:rsidR="0046389F" w:rsidRPr="00265A17" w:rsidRDefault="0046389F" w:rsidP="0046389F">
      <w:pPr>
        <w:spacing w:line="240" w:lineRule="atLeast"/>
        <w:rPr>
          <w:rFonts w:ascii="Arial" w:hAnsi="Arial" w:cs="Arial"/>
        </w:rPr>
      </w:pPr>
      <w:r w:rsidRPr="00265A17">
        <w:rPr>
          <w:rFonts w:ascii="Arial" w:hAnsi="Arial" w:cs="Arial"/>
        </w:rPr>
        <w:t>LK</w:t>
      </w:r>
      <w:r w:rsidRPr="00265A17">
        <w:rPr>
          <w:rFonts w:ascii="Arial" w:hAnsi="Arial" w:cs="Arial"/>
        </w:rPr>
        <w:tab/>
      </w:r>
      <w:r w:rsidRPr="00265A17">
        <w:rPr>
          <w:rFonts w:ascii="Arial" w:hAnsi="Arial" w:cs="Arial"/>
        </w:rPr>
        <w:tab/>
        <w:t>Landkreise</w:t>
      </w:r>
    </w:p>
    <w:p w14:paraId="341F50D9" w14:textId="77777777" w:rsidR="0046389F" w:rsidRPr="00265A17" w:rsidRDefault="0046389F" w:rsidP="0046389F">
      <w:pPr>
        <w:spacing w:line="240" w:lineRule="atLeast"/>
        <w:rPr>
          <w:rFonts w:ascii="Arial" w:hAnsi="Arial" w:cs="Arial"/>
        </w:rPr>
      </w:pPr>
      <w:r w:rsidRPr="00265A17">
        <w:rPr>
          <w:rFonts w:ascii="Arial" w:hAnsi="Arial" w:cs="Arial"/>
        </w:rPr>
        <w:t>LWV</w:t>
      </w:r>
      <w:r w:rsidRPr="00265A17">
        <w:rPr>
          <w:rFonts w:ascii="Arial" w:hAnsi="Arial" w:cs="Arial"/>
        </w:rPr>
        <w:tab/>
      </w:r>
      <w:r w:rsidRPr="00265A17">
        <w:rPr>
          <w:rFonts w:ascii="Arial" w:hAnsi="Arial" w:cs="Arial"/>
        </w:rPr>
        <w:tab/>
        <w:t>Landeswohlfahrtsverband</w:t>
      </w:r>
    </w:p>
    <w:p w14:paraId="306D6070" w14:textId="77777777" w:rsidR="0046389F" w:rsidRPr="00265A17" w:rsidRDefault="0046389F" w:rsidP="0046389F">
      <w:pPr>
        <w:spacing w:line="240" w:lineRule="atLeast"/>
        <w:rPr>
          <w:rFonts w:ascii="Arial" w:hAnsi="Arial" w:cs="Arial"/>
        </w:rPr>
      </w:pPr>
      <w:r w:rsidRPr="00265A17">
        <w:rPr>
          <w:rFonts w:ascii="Arial" w:hAnsi="Arial" w:cs="Arial"/>
        </w:rPr>
        <w:t>SGB</w:t>
      </w:r>
      <w:r w:rsidRPr="00265A17">
        <w:rPr>
          <w:rFonts w:ascii="Arial" w:hAnsi="Arial" w:cs="Arial"/>
        </w:rPr>
        <w:tab/>
      </w:r>
      <w:r w:rsidRPr="00265A17">
        <w:rPr>
          <w:rFonts w:ascii="Arial" w:hAnsi="Arial" w:cs="Arial"/>
        </w:rPr>
        <w:tab/>
        <w:t>Sozialgesetzbuch</w:t>
      </w:r>
    </w:p>
    <w:p w14:paraId="6F1966BA" w14:textId="77777777" w:rsidR="0046389F" w:rsidRPr="00EA79FE" w:rsidRDefault="0046389F" w:rsidP="0046389F">
      <w:pPr>
        <w:spacing w:line="240" w:lineRule="atLeast"/>
        <w:rPr>
          <w:rFonts w:ascii="Arial" w:hAnsi="Arial" w:cs="Arial"/>
        </w:rPr>
      </w:pPr>
      <w:r w:rsidRPr="00265A17">
        <w:rPr>
          <w:rFonts w:ascii="Arial" w:hAnsi="Arial" w:cs="Arial"/>
        </w:rPr>
        <w:t>VGR</w:t>
      </w:r>
      <w:r w:rsidRPr="00265A17">
        <w:rPr>
          <w:rFonts w:ascii="Arial" w:hAnsi="Arial" w:cs="Arial"/>
        </w:rPr>
        <w:tab/>
      </w:r>
      <w:r w:rsidRPr="00265A17">
        <w:rPr>
          <w:rFonts w:ascii="Arial" w:hAnsi="Arial" w:cs="Arial"/>
        </w:rPr>
        <w:tab/>
        <w:t>Volkswirtschaftliche Gesamtrechnung</w:t>
      </w:r>
      <w:r w:rsidRPr="00EA79FE">
        <w:rPr>
          <w:rFonts w:ascii="Arial" w:hAnsi="Arial" w:cs="Arial"/>
        </w:rPr>
        <w:br w:type="page"/>
      </w:r>
    </w:p>
    <w:p w14:paraId="3C86D6B2" w14:textId="77777777" w:rsidR="0046389F" w:rsidRDefault="0046389F" w:rsidP="0046389F">
      <w:pPr>
        <w:pStyle w:val="berschrift1"/>
        <w:spacing w:before="0" w:line="240" w:lineRule="atLeast"/>
        <w:jc w:val="center"/>
        <w:rPr>
          <w:rFonts w:ascii="Arial" w:hAnsi="Arial" w:cs="Arial"/>
          <w:color w:val="0A3776"/>
          <w:sz w:val="26"/>
          <w:szCs w:val="26"/>
        </w:rPr>
      </w:pPr>
    </w:p>
    <w:p w14:paraId="1BE73E83" w14:textId="77777777" w:rsidR="0046389F" w:rsidRPr="00A0631B" w:rsidRDefault="0046389F" w:rsidP="0046389F">
      <w:pPr>
        <w:pStyle w:val="berschrift1"/>
        <w:spacing w:before="0" w:line="240" w:lineRule="atLeast"/>
        <w:jc w:val="center"/>
        <w:rPr>
          <w:rFonts w:ascii="Arial" w:hAnsi="Arial" w:cs="Arial"/>
          <w:b/>
          <w:color w:val="0A3776"/>
          <w:szCs w:val="24"/>
        </w:rPr>
      </w:pPr>
      <w:bookmarkStart w:id="3" w:name="_Toc129756731"/>
      <w:bookmarkStart w:id="4" w:name="_Toc163114785"/>
      <w:r w:rsidRPr="00A0631B">
        <w:rPr>
          <w:rFonts w:ascii="Arial" w:hAnsi="Arial" w:cs="Arial"/>
          <w:b/>
          <w:color w:val="0A3776"/>
          <w:szCs w:val="24"/>
        </w:rPr>
        <w:t>1 Vorwort</w:t>
      </w:r>
      <w:bookmarkEnd w:id="3"/>
      <w:bookmarkEnd w:id="4"/>
    </w:p>
    <w:p w14:paraId="1155E4E2" w14:textId="77777777" w:rsidR="0046389F" w:rsidRPr="00EA79FE" w:rsidRDefault="0046389F" w:rsidP="0046389F">
      <w:pPr>
        <w:spacing w:line="240" w:lineRule="atLeast"/>
        <w:rPr>
          <w:rFonts w:ascii="Arial" w:hAnsi="Arial" w:cs="Arial"/>
        </w:rPr>
      </w:pPr>
    </w:p>
    <w:p w14:paraId="6804071B" w14:textId="790DEAFB" w:rsidR="00540F17" w:rsidRPr="00D61477" w:rsidRDefault="00540F17" w:rsidP="00540F17">
      <w:pPr>
        <w:spacing w:line="240" w:lineRule="atLeast"/>
        <w:jc w:val="both"/>
        <w:rPr>
          <w:rFonts w:ascii="Arial" w:hAnsi="Arial" w:cs="Arial"/>
        </w:rPr>
      </w:pPr>
      <w:r w:rsidRPr="00D61477">
        <w:rPr>
          <w:rFonts w:ascii="Arial" w:hAnsi="Arial" w:cs="Arial"/>
        </w:rPr>
        <w:t>Sehr gee</w:t>
      </w:r>
      <w:r w:rsidR="00771BE5">
        <w:rPr>
          <w:rFonts w:ascii="Arial" w:hAnsi="Arial" w:cs="Arial"/>
        </w:rPr>
        <w:t>h</w:t>
      </w:r>
      <w:r w:rsidRPr="00D61477">
        <w:rPr>
          <w:rFonts w:ascii="Arial" w:hAnsi="Arial" w:cs="Arial"/>
        </w:rPr>
        <w:t>rte Damen und Herren</w:t>
      </w:r>
      <w:r>
        <w:rPr>
          <w:rFonts w:ascii="Arial" w:hAnsi="Arial" w:cs="Arial"/>
        </w:rPr>
        <w:t>,</w:t>
      </w:r>
    </w:p>
    <w:p w14:paraId="541EEDFD" w14:textId="77777777" w:rsidR="00540F17" w:rsidRPr="00EA79FE" w:rsidRDefault="00540F17" w:rsidP="00540F17">
      <w:pPr>
        <w:spacing w:line="240" w:lineRule="atLeast"/>
        <w:jc w:val="both"/>
        <w:rPr>
          <w:rFonts w:ascii="Arial" w:hAnsi="Arial" w:cs="Arial"/>
        </w:rPr>
      </w:pPr>
    </w:p>
    <w:p w14:paraId="419CD542" w14:textId="55ADEC32" w:rsidR="00540F17" w:rsidRPr="00EA79FE" w:rsidRDefault="00540F17" w:rsidP="00540F17">
      <w:pPr>
        <w:spacing w:line="240" w:lineRule="atLeast"/>
        <w:rPr>
          <w:rFonts w:ascii="Arial" w:hAnsi="Arial" w:cs="Arial"/>
        </w:rPr>
      </w:pPr>
      <w:r w:rsidRPr="00EA79FE">
        <w:rPr>
          <w:rFonts w:ascii="Arial" w:hAnsi="Arial" w:cs="Arial"/>
        </w:rPr>
        <w:t>mit diesem „Handbuch der</w:t>
      </w:r>
      <w:r w:rsidR="00C22A1C">
        <w:rPr>
          <w:rFonts w:ascii="Arial" w:hAnsi="Arial" w:cs="Arial"/>
        </w:rPr>
        <w:t xml:space="preserve"> Vierteljährlichen</w:t>
      </w:r>
      <w:r w:rsidRPr="00EA79FE">
        <w:rPr>
          <w:rFonts w:ascii="Arial" w:hAnsi="Arial" w:cs="Arial"/>
        </w:rPr>
        <w:t xml:space="preserve"> Kassenstatistik“ erhalten Sie </w:t>
      </w:r>
      <w:r>
        <w:rPr>
          <w:rFonts w:ascii="Arial" w:hAnsi="Arial" w:cs="Arial"/>
        </w:rPr>
        <w:t xml:space="preserve">nunmehr seit 2018 </w:t>
      </w:r>
      <w:r w:rsidRPr="00EA79FE">
        <w:rPr>
          <w:rFonts w:ascii="Arial" w:hAnsi="Arial" w:cs="Arial"/>
        </w:rPr>
        <w:t xml:space="preserve">wichtige Informationen und Hinweise zur Erstellung und Abgabe der Vierteljährlichen Kassenstatistik. Hiermit möchten wir Ihnen ein übersichtliches Dokument bieten, in dem viele Fragen beantwortet </w:t>
      </w:r>
      <w:r>
        <w:rPr>
          <w:rFonts w:ascii="Arial" w:hAnsi="Arial" w:cs="Arial"/>
        </w:rPr>
        <w:t>werden</w:t>
      </w:r>
      <w:r w:rsidRPr="00EA79FE">
        <w:rPr>
          <w:rFonts w:ascii="Arial" w:hAnsi="Arial" w:cs="Arial"/>
        </w:rPr>
        <w:t xml:space="preserve"> und welches Ihnen als Nachschlagewerk dienen soll. Wir sind uns bewusst, dass wir mit diesem Handbuch nicht </w:t>
      </w:r>
      <w:r>
        <w:rPr>
          <w:rFonts w:ascii="Arial" w:hAnsi="Arial" w:cs="Arial"/>
        </w:rPr>
        <w:t xml:space="preserve">auf </w:t>
      </w:r>
      <w:r w:rsidRPr="00EA79FE">
        <w:rPr>
          <w:rFonts w:ascii="Arial" w:hAnsi="Arial" w:cs="Arial"/>
        </w:rPr>
        <w:t xml:space="preserve">alle Ihre Fragen </w:t>
      </w:r>
      <w:r>
        <w:rPr>
          <w:rFonts w:ascii="Arial" w:hAnsi="Arial" w:cs="Arial"/>
        </w:rPr>
        <w:t>eingehen</w:t>
      </w:r>
      <w:r w:rsidRPr="00EA79FE">
        <w:rPr>
          <w:rFonts w:ascii="Arial" w:hAnsi="Arial" w:cs="Arial"/>
        </w:rPr>
        <w:t xml:space="preserve"> können</w:t>
      </w:r>
      <w:r>
        <w:rPr>
          <w:rFonts w:ascii="Arial" w:hAnsi="Arial" w:cs="Arial"/>
        </w:rPr>
        <w:t>.</w:t>
      </w:r>
      <w:r w:rsidRPr="00EA79FE">
        <w:rPr>
          <w:rFonts w:ascii="Arial" w:hAnsi="Arial" w:cs="Arial"/>
        </w:rPr>
        <w:t xml:space="preserve"> </w:t>
      </w:r>
      <w:r>
        <w:rPr>
          <w:rFonts w:ascii="Arial" w:hAnsi="Arial" w:cs="Arial"/>
        </w:rPr>
        <w:t>A</w:t>
      </w:r>
      <w:r w:rsidRPr="00EA79FE">
        <w:rPr>
          <w:rFonts w:ascii="Arial" w:hAnsi="Arial" w:cs="Arial"/>
        </w:rPr>
        <w:t xml:space="preserve">llerdings haben wir </w:t>
      </w:r>
      <w:r>
        <w:rPr>
          <w:rFonts w:ascii="Arial" w:hAnsi="Arial" w:cs="Arial"/>
        </w:rPr>
        <w:t xml:space="preserve">uns bemüht, </w:t>
      </w:r>
      <w:r w:rsidRPr="00EA79FE">
        <w:rPr>
          <w:rFonts w:ascii="Arial" w:hAnsi="Arial" w:cs="Arial"/>
        </w:rPr>
        <w:t xml:space="preserve">alle </w:t>
      </w:r>
      <w:r>
        <w:rPr>
          <w:rFonts w:ascii="Arial" w:hAnsi="Arial" w:cs="Arial"/>
        </w:rPr>
        <w:t>wesentlichen</w:t>
      </w:r>
      <w:r w:rsidRPr="00EA79FE">
        <w:rPr>
          <w:rFonts w:ascii="Arial" w:hAnsi="Arial" w:cs="Arial"/>
        </w:rPr>
        <w:t xml:space="preserve"> Grundsätze, Informationen und Hinweise in diesem Dokument auf</w:t>
      </w:r>
      <w:r>
        <w:rPr>
          <w:rFonts w:ascii="Arial" w:hAnsi="Arial" w:cs="Arial"/>
        </w:rPr>
        <w:t>zuführen</w:t>
      </w:r>
      <w:r w:rsidRPr="00EA79FE">
        <w:rPr>
          <w:rFonts w:ascii="Arial" w:hAnsi="Arial" w:cs="Arial"/>
        </w:rPr>
        <w:t>. Sollten Sie weiteren Klärungsbedarf haben</w:t>
      </w:r>
      <w:r>
        <w:rPr>
          <w:rFonts w:ascii="Arial" w:hAnsi="Arial" w:cs="Arial"/>
        </w:rPr>
        <w:t xml:space="preserve">, </w:t>
      </w:r>
      <w:r w:rsidRPr="00EA79FE">
        <w:rPr>
          <w:rFonts w:ascii="Arial" w:hAnsi="Arial" w:cs="Arial"/>
        </w:rPr>
        <w:t xml:space="preserve">steht Ihnen unser Team der Gemeindefinanzen telefonisch </w:t>
      </w:r>
      <w:r w:rsidR="00F16479">
        <w:rPr>
          <w:rFonts w:ascii="Arial" w:hAnsi="Arial" w:cs="Arial"/>
        </w:rPr>
        <w:t xml:space="preserve">(0611-3802-678) </w:t>
      </w:r>
      <w:r w:rsidRPr="00EA79FE">
        <w:rPr>
          <w:rFonts w:ascii="Arial" w:hAnsi="Arial" w:cs="Arial"/>
        </w:rPr>
        <w:t xml:space="preserve">oder per </w:t>
      </w:r>
      <w:r>
        <w:rPr>
          <w:rFonts w:ascii="Arial" w:hAnsi="Arial" w:cs="Arial"/>
        </w:rPr>
        <w:t xml:space="preserve">E-Mail </w:t>
      </w:r>
      <w:r w:rsidR="00C22A1C">
        <w:rPr>
          <w:rFonts w:ascii="Arial" w:hAnsi="Arial" w:cs="Arial"/>
        </w:rPr>
        <w:t xml:space="preserve">unter </w:t>
      </w:r>
      <w:hyperlink r:id="rId10" w:history="1">
        <w:r w:rsidRPr="00CB406D">
          <w:rPr>
            <w:rStyle w:val="Hyperlink"/>
            <w:rFonts w:ascii="Arial" w:hAnsi="Arial" w:cs="Arial"/>
            <w:b/>
          </w:rPr>
          <w:t>kassenstatistik@statistik.hessen.de</w:t>
        </w:r>
      </w:hyperlink>
      <w:r w:rsidRPr="00EA79FE">
        <w:rPr>
          <w:rFonts w:ascii="Arial" w:hAnsi="Arial" w:cs="Arial"/>
        </w:rPr>
        <w:t xml:space="preserve"> </w:t>
      </w:r>
      <w:r>
        <w:rPr>
          <w:rFonts w:ascii="Arial" w:hAnsi="Arial" w:cs="Arial"/>
        </w:rPr>
        <w:t>gerne beratend</w:t>
      </w:r>
      <w:r w:rsidRPr="00EA79FE">
        <w:rPr>
          <w:rFonts w:ascii="Arial" w:hAnsi="Arial" w:cs="Arial"/>
        </w:rPr>
        <w:t xml:space="preserve"> zur Verfügung.</w:t>
      </w:r>
    </w:p>
    <w:p w14:paraId="38AE105B" w14:textId="77777777" w:rsidR="00540F17" w:rsidRPr="00EA79FE" w:rsidRDefault="00540F17" w:rsidP="00540F17">
      <w:pPr>
        <w:spacing w:line="240" w:lineRule="atLeast"/>
        <w:rPr>
          <w:rFonts w:ascii="Arial" w:hAnsi="Arial" w:cs="Arial"/>
        </w:rPr>
      </w:pPr>
    </w:p>
    <w:p w14:paraId="08B64290" w14:textId="77777777" w:rsidR="00540F17" w:rsidRPr="00EA79FE" w:rsidRDefault="00540F17" w:rsidP="00540F17">
      <w:pPr>
        <w:spacing w:line="240" w:lineRule="atLeast"/>
        <w:rPr>
          <w:rFonts w:ascii="Arial" w:hAnsi="Arial" w:cs="Arial"/>
        </w:rPr>
      </w:pPr>
      <w:r w:rsidRPr="00A57D63">
        <w:rPr>
          <w:rFonts w:ascii="Arial" w:hAnsi="Arial" w:cs="Arial"/>
          <w:b/>
        </w:rPr>
        <w:t>Wir bitten Sie, bei der Erstellung und Abgabe der statistischen Meldung dieses Handbuch zu Rate zu ziehen.</w:t>
      </w:r>
      <w:r w:rsidRPr="00EA79FE">
        <w:rPr>
          <w:rFonts w:ascii="Arial" w:hAnsi="Arial" w:cs="Arial"/>
        </w:rPr>
        <w:t xml:space="preserve"> </w:t>
      </w:r>
      <w:r w:rsidRPr="00A57D63">
        <w:rPr>
          <w:rFonts w:ascii="Arial" w:hAnsi="Arial" w:cs="Arial"/>
          <w:b/>
        </w:rPr>
        <w:t>Dadurch können Rückfragen minimiert und Ihre Zeitressourcen geschont werden.</w:t>
      </w:r>
      <w:r w:rsidRPr="00484C56">
        <w:rPr>
          <w:rFonts w:ascii="Arial" w:hAnsi="Arial" w:cs="Arial"/>
        </w:rPr>
        <w:t xml:space="preserve"> Damit Sie die für Sie wichtigen Abschnitte schneller finden, stehen hinter den Betitelungen Hinweise auf die betroffenen Körperschaftsgruppen in Form von Kürzeln.</w:t>
      </w:r>
    </w:p>
    <w:p w14:paraId="53243713" w14:textId="77777777" w:rsidR="00540F17" w:rsidRPr="00EA79FE" w:rsidRDefault="00540F17" w:rsidP="00540F17">
      <w:pPr>
        <w:spacing w:line="240" w:lineRule="atLeast"/>
        <w:rPr>
          <w:rFonts w:ascii="Arial" w:hAnsi="Arial" w:cs="Arial"/>
        </w:rPr>
      </w:pPr>
    </w:p>
    <w:p w14:paraId="2F61A68D" w14:textId="77777777" w:rsidR="00540F17" w:rsidRPr="00283ADB" w:rsidRDefault="00540F17" w:rsidP="00540F17">
      <w:pPr>
        <w:spacing w:line="240" w:lineRule="atLeast"/>
        <w:rPr>
          <w:rFonts w:ascii="Arial" w:hAnsi="Arial" w:cs="Arial"/>
        </w:rPr>
      </w:pPr>
      <w:r>
        <w:rPr>
          <w:rFonts w:ascii="Arial" w:hAnsi="Arial" w:cs="Arial"/>
        </w:rPr>
        <w:t xml:space="preserve">Zur Datenübermittlung steht ihnen das Online-Meldeverfahren </w:t>
      </w:r>
      <w:r w:rsidRPr="00484C56">
        <w:rPr>
          <w:rFonts w:ascii="Arial" w:hAnsi="Arial" w:cs="Arial"/>
        </w:rPr>
        <w:t>eS</w:t>
      </w:r>
      <w:r>
        <w:rPr>
          <w:rFonts w:ascii="Arial" w:hAnsi="Arial" w:cs="Arial"/>
        </w:rPr>
        <w:t>tatistik</w:t>
      </w:r>
      <w:r w:rsidRPr="00484C56">
        <w:rPr>
          <w:rFonts w:ascii="Arial" w:hAnsi="Arial" w:cs="Arial"/>
        </w:rPr>
        <w:t>.core</w:t>
      </w:r>
      <w:r>
        <w:rPr>
          <w:rFonts w:ascii="Arial" w:hAnsi="Arial" w:cs="Arial"/>
        </w:rPr>
        <w:t xml:space="preserve"> zur Verfügung. Nähere</w:t>
      </w:r>
      <w:r w:rsidRPr="00283ADB">
        <w:rPr>
          <w:rFonts w:ascii="Arial" w:hAnsi="Arial" w:cs="Arial"/>
        </w:rPr>
        <w:t xml:space="preserve"> Informationen hierzu finden Sie i</w:t>
      </w:r>
      <w:r>
        <w:rPr>
          <w:rFonts w:ascii="Arial" w:hAnsi="Arial" w:cs="Arial"/>
        </w:rPr>
        <w:t>n</w:t>
      </w:r>
      <w:r w:rsidRPr="00283ADB">
        <w:rPr>
          <w:rFonts w:ascii="Arial" w:hAnsi="Arial" w:cs="Arial"/>
        </w:rPr>
        <w:t xml:space="preserve"> Kapitel 3 sowie der Anlage „Anleitung zur Nutzung der Webanwendung eS</w:t>
      </w:r>
      <w:r>
        <w:rPr>
          <w:rFonts w:ascii="Arial" w:hAnsi="Arial" w:cs="Arial"/>
        </w:rPr>
        <w:t>tatistik</w:t>
      </w:r>
      <w:r w:rsidRPr="00283ADB">
        <w:rPr>
          <w:rFonts w:ascii="Arial" w:hAnsi="Arial" w:cs="Arial"/>
        </w:rPr>
        <w:t>.core“.</w:t>
      </w:r>
    </w:p>
    <w:p w14:paraId="503F301C" w14:textId="77777777" w:rsidR="00540F17" w:rsidRDefault="00540F17" w:rsidP="00540F17">
      <w:pPr>
        <w:spacing w:line="240" w:lineRule="atLeast"/>
        <w:rPr>
          <w:rFonts w:ascii="Arial" w:hAnsi="Arial" w:cs="Arial"/>
        </w:rPr>
      </w:pPr>
    </w:p>
    <w:p w14:paraId="2325878D" w14:textId="77777777" w:rsidR="00540F17" w:rsidRDefault="00540F17" w:rsidP="00540F17">
      <w:pPr>
        <w:spacing w:line="240" w:lineRule="atLeast"/>
        <w:rPr>
          <w:rFonts w:ascii="Arial" w:hAnsi="Arial" w:cs="Arial"/>
        </w:rPr>
      </w:pPr>
      <w:r>
        <w:rPr>
          <w:rFonts w:ascii="Arial" w:hAnsi="Arial" w:cs="Arial"/>
        </w:rPr>
        <w:t>Wir bitten Sie</w:t>
      </w:r>
      <w:r w:rsidRPr="00E91FD4">
        <w:rPr>
          <w:rFonts w:ascii="Arial" w:hAnsi="Arial" w:cs="Arial"/>
        </w:rPr>
        <w:t>, Ihre statistische Meldung in Quartalswerten zu liefern. Das 1. Quartal enthält die Werte vom 01. Januar bis 31. März</w:t>
      </w:r>
      <w:r>
        <w:rPr>
          <w:rFonts w:ascii="Arial" w:hAnsi="Arial" w:cs="Arial"/>
        </w:rPr>
        <w:t>, da</w:t>
      </w:r>
      <w:r w:rsidRPr="00E91FD4">
        <w:rPr>
          <w:rFonts w:ascii="Arial" w:hAnsi="Arial" w:cs="Arial"/>
        </w:rPr>
        <w:t xml:space="preserve">s 2. Quartal die Werte vom 01. </w:t>
      </w:r>
      <w:r>
        <w:rPr>
          <w:rFonts w:ascii="Arial" w:hAnsi="Arial" w:cs="Arial"/>
        </w:rPr>
        <w:t xml:space="preserve">April </w:t>
      </w:r>
      <w:r w:rsidRPr="00E91FD4">
        <w:rPr>
          <w:rFonts w:ascii="Arial" w:hAnsi="Arial" w:cs="Arial"/>
        </w:rPr>
        <w:t>bis 30.</w:t>
      </w:r>
      <w:r>
        <w:rPr>
          <w:rFonts w:ascii="Arial" w:hAnsi="Arial" w:cs="Arial"/>
        </w:rPr>
        <w:t xml:space="preserve"> Juni, </w:t>
      </w:r>
      <w:r w:rsidRPr="00583745">
        <w:rPr>
          <w:rFonts w:ascii="Arial" w:hAnsi="Arial" w:cs="Arial"/>
        </w:rPr>
        <w:t xml:space="preserve">das 3. Quartal die Werte vom 01. Juli bis 30. September und das 4. Quartal die Werte vom 01. Oktober bis 31. Dezember </w:t>
      </w:r>
      <w:r>
        <w:rPr>
          <w:rFonts w:ascii="Arial" w:hAnsi="Arial" w:cs="Arial"/>
        </w:rPr>
        <w:t>eines Jahres</w:t>
      </w:r>
      <w:r w:rsidRPr="00583745">
        <w:rPr>
          <w:rFonts w:ascii="Arial" w:hAnsi="Arial" w:cs="Arial"/>
        </w:rPr>
        <w:t>.</w:t>
      </w:r>
    </w:p>
    <w:p w14:paraId="71CDFCD8" w14:textId="77777777" w:rsidR="00540F17" w:rsidRDefault="00540F17" w:rsidP="00540F17">
      <w:pPr>
        <w:spacing w:line="240" w:lineRule="atLeast"/>
        <w:rPr>
          <w:rFonts w:ascii="Arial" w:hAnsi="Arial" w:cs="Arial"/>
        </w:rPr>
      </w:pPr>
    </w:p>
    <w:p w14:paraId="0669D565" w14:textId="77777777" w:rsidR="00540F17" w:rsidRPr="00EA79FE" w:rsidRDefault="00540F17" w:rsidP="00540F17">
      <w:pPr>
        <w:spacing w:line="240" w:lineRule="atLeast"/>
        <w:rPr>
          <w:rFonts w:ascii="Arial" w:hAnsi="Arial" w:cs="Arial"/>
        </w:rPr>
      </w:pPr>
      <w:r w:rsidRPr="00EA79FE">
        <w:rPr>
          <w:rFonts w:ascii="Arial" w:hAnsi="Arial" w:cs="Arial"/>
        </w:rPr>
        <w:t xml:space="preserve">Wir danken Ihnen für </w:t>
      </w:r>
      <w:r>
        <w:rPr>
          <w:rFonts w:ascii="Arial" w:hAnsi="Arial" w:cs="Arial"/>
        </w:rPr>
        <w:t>die</w:t>
      </w:r>
      <w:r w:rsidRPr="00EA79FE">
        <w:rPr>
          <w:rFonts w:ascii="Arial" w:hAnsi="Arial" w:cs="Arial"/>
        </w:rPr>
        <w:t xml:space="preserve"> Berücksichtigung dieses Nachschlagewerks!</w:t>
      </w:r>
    </w:p>
    <w:p w14:paraId="252C3EF6" w14:textId="77777777" w:rsidR="00540F17" w:rsidRPr="00EA79FE" w:rsidRDefault="00540F17" w:rsidP="00540F17">
      <w:pPr>
        <w:spacing w:line="240" w:lineRule="atLeast"/>
        <w:rPr>
          <w:rFonts w:ascii="Arial" w:hAnsi="Arial" w:cs="Arial"/>
        </w:rPr>
      </w:pPr>
    </w:p>
    <w:p w14:paraId="2D7830D8" w14:textId="77777777" w:rsidR="00540F17" w:rsidRPr="00EA79FE" w:rsidRDefault="00540F17" w:rsidP="00540F17">
      <w:pPr>
        <w:spacing w:line="240" w:lineRule="atLeast"/>
        <w:rPr>
          <w:rFonts w:ascii="Arial" w:hAnsi="Arial" w:cs="Arial"/>
        </w:rPr>
      </w:pPr>
      <w:r w:rsidRPr="00EA79FE">
        <w:rPr>
          <w:rFonts w:ascii="Arial" w:hAnsi="Arial" w:cs="Arial"/>
        </w:rPr>
        <w:t>Mit freundlichen Grüßen,</w:t>
      </w:r>
    </w:p>
    <w:p w14:paraId="634F3271" w14:textId="04991D29" w:rsidR="0046389F" w:rsidRPr="00540F17" w:rsidRDefault="00540F17" w:rsidP="00540F17">
      <w:pPr>
        <w:spacing w:line="240" w:lineRule="atLeast"/>
        <w:rPr>
          <w:rFonts w:ascii="Arial" w:hAnsi="Arial" w:cs="Arial"/>
        </w:rPr>
      </w:pPr>
      <w:r w:rsidRPr="007131CE">
        <w:rPr>
          <w:rFonts w:ascii="Arial" w:hAnsi="Arial" w:cs="Arial"/>
        </w:rPr>
        <w:t>ihr Team der Gemeindefinanzen</w:t>
      </w:r>
      <w:r w:rsidR="0046389F" w:rsidRPr="00EA79FE">
        <w:rPr>
          <w:rFonts w:ascii="Arial" w:hAnsi="Arial" w:cs="Arial"/>
        </w:rPr>
        <w:br w:type="page"/>
      </w:r>
    </w:p>
    <w:p w14:paraId="704F10A2" w14:textId="77777777" w:rsidR="0046389F" w:rsidRPr="00A0631B" w:rsidRDefault="0046389F" w:rsidP="0046389F">
      <w:pPr>
        <w:pStyle w:val="berschrift1"/>
        <w:spacing w:before="0" w:line="240" w:lineRule="atLeast"/>
        <w:jc w:val="center"/>
        <w:rPr>
          <w:rFonts w:ascii="Arial" w:hAnsi="Arial" w:cs="Arial"/>
          <w:b/>
          <w:color w:val="0A3776"/>
          <w:szCs w:val="26"/>
        </w:rPr>
      </w:pPr>
      <w:bookmarkStart w:id="5" w:name="_Toc129756732"/>
      <w:bookmarkStart w:id="6" w:name="_Toc163114786"/>
      <w:r w:rsidRPr="00A0631B">
        <w:rPr>
          <w:rFonts w:ascii="Arial" w:hAnsi="Arial" w:cs="Arial"/>
          <w:b/>
          <w:color w:val="0A3776"/>
          <w:szCs w:val="26"/>
        </w:rPr>
        <w:lastRenderedPageBreak/>
        <w:t>2 Allgemeines zur Statistikmeldung</w:t>
      </w:r>
      <w:bookmarkEnd w:id="5"/>
      <w:bookmarkEnd w:id="6"/>
    </w:p>
    <w:p w14:paraId="243E1329" w14:textId="77777777" w:rsidR="0046389F" w:rsidRPr="00EA79FE" w:rsidRDefault="0046389F" w:rsidP="0046389F">
      <w:pPr>
        <w:spacing w:line="240" w:lineRule="atLeast"/>
        <w:rPr>
          <w:rFonts w:ascii="Arial" w:hAnsi="Arial" w:cs="Arial"/>
        </w:rPr>
      </w:pPr>
    </w:p>
    <w:p w14:paraId="7C71CC8E" w14:textId="77777777" w:rsidR="0046389F" w:rsidRPr="002312B3" w:rsidRDefault="0046389F" w:rsidP="0046389F">
      <w:pPr>
        <w:pStyle w:val="berschrift2"/>
        <w:spacing w:before="0" w:after="120" w:line="240" w:lineRule="atLeast"/>
        <w:rPr>
          <w:rFonts w:ascii="Arial" w:hAnsi="Arial" w:cs="Arial"/>
          <w:b/>
          <w:bCs/>
          <w:color w:val="0A3776"/>
          <w:sz w:val="24"/>
          <w:szCs w:val="24"/>
          <w:u w:val="single"/>
        </w:rPr>
      </w:pPr>
      <w:bookmarkStart w:id="7" w:name="_Toc129756733"/>
      <w:bookmarkStart w:id="8" w:name="_Toc163114787"/>
      <w:r w:rsidRPr="002312B3">
        <w:rPr>
          <w:rFonts w:ascii="Arial" w:hAnsi="Arial" w:cs="Arial"/>
          <w:b/>
          <w:bCs/>
          <w:color w:val="0A3776"/>
          <w:sz w:val="24"/>
          <w:szCs w:val="24"/>
          <w:u w:val="single"/>
        </w:rPr>
        <w:t>2.1 Fristverlängerungen</w:t>
      </w:r>
      <w:bookmarkEnd w:id="7"/>
      <w:bookmarkEnd w:id="8"/>
    </w:p>
    <w:p w14:paraId="0F3702DC" w14:textId="0B1800BB" w:rsidR="00FD390B" w:rsidRDefault="0046389F" w:rsidP="00C22A1C">
      <w:pPr>
        <w:tabs>
          <w:tab w:val="left" w:pos="284"/>
        </w:tabs>
        <w:spacing w:line="240" w:lineRule="auto"/>
        <w:rPr>
          <w:rFonts w:ascii="Arial" w:hAnsi="Arial" w:cs="Arial"/>
        </w:rPr>
      </w:pPr>
      <w:r w:rsidRPr="00265A17">
        <w:rPr>
          <w:rFonts w:ascii="Arial" w:hAnsi="Arial" w:cs="Arial"/>
        </w:rPr>
        <w:t xml:space="preserve">Fristverlängerungen sind wegen des kurzen Zeitfensters zur Plausibilisierung der </w:t>
      </w:r>
      <w:r w:rsidR="00C22A1C">
        <w:rPr>
          <w:rFonts w:ascii="Arial" w:hAnsi="Arial" w:cs="Arial"/>
        </w:rPr>
        <w:t xml:space="preserve">Vierteljährlichen </w:t>
      </w:r>
      <w:r w:rsidRPr="00265A17">
        <w:rPr>
          <w:rFonts w:ascii="Arial" w:hAnsi="Arial" w:cs="Arial"/>
        </w:rPr>
        <w:t xml:space="preserve">Kassenstatistik </w:t>
      </w:r>
      <w:r w:rsidRPr="00265A17">
        <w:rPr>
          <w:rFonts w:ascii="Arial" w:hAnsi="Arial" w:cs="Arial"/>
          <w:b/>
          <w:i/>
        </w:rPr>
        <w:t xml:space="preserve">nur im Ausnahmefall möglich und </w:t>
      </w:r>
      <w:r w:rsidRPr="00265A17">
        <w:rPr>
          <w:rFonts w:ascii="Arial" w:hAnsi="Arial" w:cs="Arial"/>
          <w:b/>
          <w:i/>
          <w:color w:val="000000" w:themeColor="text1"/>
        </w:rPr>
        <w:t xml:space="preserve">mindestens eine Woche vor Abgabetermin schriftlich und begründet per E-Mail an </w:t>
      </w:r>
      <w:hyperlink r:id="rId11" w:history="1">
        <w:r w:rsidRPr="00265A17">
          <w:rPr>
            <w:rStyle w:val="Hyperlink"/>
            <w:rFonts w:ascii="Arial" w:hAnsi="Arial" w:cs="Arial"/>
            <w:b/>
            <w:i/>
          </w:rPr>
          <w:t>kassenstatistik@statistik.hessen.de</w:t>
        </w:r>
      </w:hyperlink>
      <w:r w:rsidRPr="00265A17">
        <w:rPr>
          <w:rFonts w:ascii="Arial" w:hAnsi="Arial" w:cs="Arial"/>
          <w:b/>
          <w:i/>
        </w:rPr>
        <w:t xml:space="preserve"> </w:t>
      </w:r>
      <w:r w:rsidRPr="00265A17">
        <w:rPr>
          <w:rFonts w:ascii="Arial" w:hAnsi="Arial" w:cs="Arial"/>
          <w:b/>
          <w:i/>
          <w:color w:val="000000" w:themeColor="text1"/>
        </w:rPr>
        <w:t>zu beantragen.</w:t>
      </w:r>
      <w:r w:rsidRPr="00265A17">
        <w:rPr>
          <w:rFonts w:ascii="Arial" w:hAnsi="Arial" w:cs="Arial"/>
          <w:color w:val="000000" w:themeColor="text1"/>
        </w:rPr>
        <w:t xml:space="preserve"> Verlängerungsbitten nach Ablauf der Abgabefrist </w:t>
      </w:r>
      <w:r w:rsidRPr="00265A17">
        <w:rPr>
          <w:rFonts w:ascii="Arial" w:hAnsi="Arial" w:cs="Arial"/>
        </w:rPr>
        <w:t xml:space="preserve">können nicht berücksichtigt werden!  </w:t>
      </w:r>
    </w:p>
    <w:p w14:paraId="32E0B43E" w14:textId="77777777" w:rsidR="00C22A1C" w:rsidRPr="00C22A1C" w:rsidRDefault="00C22A1C" w:rsidP="00C22A1C">
      <w:pPr>
        <w:tabs>
          <w:tab w:val="left" w:pos="284"/>
        </w:tabs>
        <w:spacing w:line="240" w:lineRule="auto"/>
        <w:rPr>
          <w:rFonts w:ascii="Arial" w:hAnsi="Arial" w:cs="Arial"/>
        </w:rPr>
      </w:pPr>
    </w:p>
    <w:p w14:paraId="3235DC64" w14:textId="37847A8B" w:rsidR="00FD390B" w:rsidRPr="00874016" w:rsidRDefault="00FD390B" w:rsidP="00FD390B">
      <w:pPr>
        <w:keepNext/>
        <w:keepLines/>
        <w:spacing w:after="120" w:line="240" w:lineRule="atLeast"/>
        <w:jc w:val="both"/>
        <w:outlineLvl w:val="1"/>
        <w:rPr>
          <w:rFonts w:ascii="Arial" w:eastAsiaTheme="majorEastAsia" w:hAnsi="Arial" w:cs="Arial"/>
          <w:b/>
          <w:bCs/>
          <w:color w:val="0A3776"/>
          <w:sz w:val="24"/>
          <w:u w:val="single"/>
        </w:rPr>
      </w:pPr>
      <w:bookmarkStart w:id="9" w:name="_Toc129756739"/>
      <w:bookmarkStart w:id="10" w:name="_Toc163114788"/>
      <w:r w:rsidRPr="00874016">
        <w:rPr>
          <w:rFonts w:ascii="Arial" w:eastAsiaTheme="majorEastAsia" w:hAnsi="Arial" w:cs="Arial"/>
          <w:b/>
          <w:bCs/>
          <w:color w:val="0A3776"/>
          <w:sz w:val="24"/>
          <w:u w:val="single"/>
        </w:rPr>
        <w:t>2.</w:t>
      </w:r>
      <w:r w:rsidR="00962278">
        <w:rPr>
          <w:rFonts w:ascii="Arial" w:eastAsiaTheme="majorEastAsia" w:hAnsi="Arial" w:cs="Arial"/>
          <w:b/>
          <w:bCs/>
          <w:color w:val="0A3776"/>
          <w:sz w:val="24"/>
          <w:u w:val="single"/>
        </w:rPr>
        <w:t>2</w:t>
      </w:r>
      <w:r w:rsidRPr="00874016">
        <w:rPr>
          <w:rFonts w:ascii="Arial" w:eastAsiaTheme="majorEastAsia" w:hAnsi="Arial" w:cs="Arial"/>
          <w:b/>
          <w:bCs/>
          <w:color w:val="0A3776"/>
          <w:sz w:val="24"/>
          <w:u w:val="single"/>
        </w:rPr>
        <w:t xml:space="preserve"> Bereichsabgrenzungen</w:t>
      </w:r>
      <w:bookmarkEnd w:id="9"/>
      <w:bookmarkEnd w:id="10"/>
    </w:p>
    <w:p w14:paraId="5754BE92" w14:textId="77777777" w:rsidR="00FD390B" w:rsidRPr="00265A17" w:rsidRDefault="00FD390B" w:rsidP="00FD390B">
      <w:pPr>
        <w:spacing w:line="240" w:lineRule="atLeast"/>
        <w:rPr>
          <w:rFonts w:ascii="Arial" w:hAnsi="Arial" w:cs="Arial"/>
        </w:rPr>
      </w:pPr>
      <w:r w:rsidRPr="00265A17">
        <w:rPr>
          <w:rFonts w:ascii="Arial" w:hAnsi="Arial" w:cs="Arial"/>
        </w:rPr>
        <w:t>Für finanz- und gesamtwirtschaftliche Zwecke wurden bei bestimmten Konten zum Nachweis der Zahlungsströme Bereichsabgrenzungen gebildet, die den Einzahler bzw. Empfänger kennzeichnen. Die Bereichsabgrenzungen werden innerhalb der Konten an der 4. Stelle angegeben. Je nach Konto wird entweder die Bereichsabgrenzung A oder B herangezogen. Da es insbesondere hier zu einer Vielzahl an Fehlermeldungen kommt, bitten wir die Bereichsabgrenzungen im besonderen Maße zu beachten.</w:t>
      </w:r>
    </w:p>
    <w:p w14:paraId="691FC380" w14:textId="77777777" w:rsidR="00FD390B" w:rsidRPr="00865AE5" w:rsidRDefault="00FD390B" w:rsidP="00FD390B">
      <w:pPr>
        <w:rPr>
          <w:rFonts w:ascii="Arial" w:hAnsi="Arial" w:cs="Arial"/>
        </w:rPr>
      </w:pPr>
    </w:p>
    <w:tbl>
      <w:tblPr>
        <w:tblStyle w:val="Tabellenraster"/>
        <w:tblW w:w="0" w:type="auto"/>
        <w:tblLook w:val="04A0" w:firstRow="1" w:lastRow="0" w:firstColumn="1" w:lastColumn="0" w:noHBand="0" w:noVBand="1"/>
      </w:tblPr>
      <w:tblGrid>
        <w:gridCol w:w="4531"/>
        <w:gridCol w:w="4531"/>
      </w:tblGrid>
      <w:tr w:rsidR="00FD390B" w:rsidRPr="002312B3" w14:paraId="2B5DBF18" w14:textId="77777777" w:rsidTr="00FD390B">
        <w:tc>
          <w:tcPr>
            <w:tcW w:w="4531" w:type="dxa"/>
            <w:shd w:val="clear" w:color="auto" w:fill="F2F2F2" w:themeFill="background1" w:themeFillShade="F2"/>
          </w:tcPr>
          <w:p w14:paraId="029BE4E3" w14:textId="77777777" w:rsidR="00FD390B" w:rsidRPr="002312B3" w:rsidRDefault="00FD390B" w:rsidP="00FD390B">
            <w:pPr>
              <w:jc w:val="center"/>
              <w:rPr>
                <w:rFonts w:ascii="Arial" w:hAnsi="Arial" w:cs="Arial"/>
                <w:b/>
                <w:sz w:val="24"/>
                <w:szCs w:val="24"/>
              </w:rPr>
            </w:pPr>
            <w:r w:rsidRPr="002312B3">
              <w:rPr>
                <w:rFonts w:ascii="Arial" w:hAnsi="Arial" w:cs="Arial"/>
                <w:b/>
                <w:sz w:val="24"/>
                <w:szCs w:val="24"/>
              </w:rPr>
              <w:t>Bereichsabgrenzung A</w:t>
            </w:r>
          </w:p>
        </w:tc>
        <w:tc>
          <w:tcPr>
            <w:tcW w:w="4531" w:type="dxa"/>
            <w:shd w:val="clear" w:color="auto" w:fill="F2F2F2" w:themeFill="background1" w:themeFillShade="F2"/>
          </w:tcPr>
          <w:p w14:paraId="31A894B5" w14:textId="77777777" w:rsidR="00FD390B" w:rsidRPr="002312B3" w:rsidRDefault="00FD390B" w:rsidP="00FD390B">
            <w:pPr>
              <w:jc w:val="center"/>
              <w:rPr>
                <w:rFonts w:ascii="Arial" w:hAnsi="Arial" w:cs="Arial"/>
                <w:b/>
                <w:sz w:val="24"/>
                <w:szCs w:val="24"/>
              </w:rPr>
            </w:pPr>
            <w:r w:rsidRPr="002312B3">
              <w:rPr>
                <w:rFonts w:ascii="Arial" w:hAnsi="Arial" w:cs="Arial"/>
                <w:b/>
                <w:sz w:val="24"/>
                <w:szCs w:val="24"/>
              </w:rPr>
              <w:t>Bereichsabgrenzung B</w:t>
            </w:r>
          </w:p>
        </w:tc>
      </w:tr>
      <w:tr w:rsidR="00FD390B" w:rsidRPr="00265A17" w14:paraId="2024C421" w14:textId="77777777" w:rsidTr="00FD390B">
        <w:tc>
          <w:tcPr>
            <w:tcW w:w="4531" w:type="dxa"/>
            <w:tcBorders>
              <w:bottom w:val="single" w:sz="4" w:space="0" w:color="auto"/>
            </w:tcBorders>
          </w:tcPr>
          <w:p w14:paraId="4678D64F" w14:textId="77777777" w:rsidR="00FD390B" w:rsidRPr="00265A17" w:rsidRDefault="00FD390B" w:rsidP="00FD390B">
            <w:pPr>
              <w:jc w:val="center"/>
              <w:rPr>
                <w:rFonts w:ascii="Arial" w:hAnsi="Arial" w:cs="Arial"/>
                <w:sz w:val="22"/>
                <w:szCs w:val="24"/>
                <w:u w:val="single"/>
              </w:rPr>
            </w:pPr>
            <w:r w:rsidRPr="00265A17">
              <w:rPr>
                <w:rFonts w:ascii="Arial" w:hAnsi="Arial" w:cs="Arial"/>
                <w:sz w:val="22"/>
                <w:szCs w:val="24"/>
                <w:u w:val="single"/>
              </w:rPr>
              <w:t>Nur gültig für:</w:t>
            </w:r>
          </w:p>
          <w:p w14:paraId="24C25F54" w14:textId="77777777" w:rsidR="00FD390B" w:rsidRPr="00265A17" w:rsidRDefault="00FD390B" w:rsidP="00FD390B">
            <w:pPr>
              <w:jc w:val="center"/>
              <w:rPr>
                <w:rFonts w:ascii="Arial" w:hAnsi="Arial" w:cs="Arial"/>
                <w:sz w:val="22"/>
                <w:szCs w:val="24"/>
                <w:u w:val="single"/>
              </w:rPr>
            </w:pPr>
          </w:p>
          <w:p w14:paraId="4FCFF00F" w14:textId="77777777" w:rsidR="00FD390B" w:rsidRPr="00265A17" w:rsidRDefault="00FD390B" w:rsidP="00FD390B">
            <w:pPr>
              <w:rPr>
                <w:rFonts w:ascii="Arial" w:hAnsi="Arial" w:cs="Arial"/>
                <w:sz w:val="22"/>
                <w:szCs w:val="24"/>
              </w:rPr>
            </w:pPr>
            <w:r w:rsidRPr="00265A17">
              <w:rPr>
                <w:rFonts w:ascii="Arial" w:hAnsi="Arial" w:cs="Arial"/>
                <w:sz w:val="22"/>
                <w:szCs w:val="24"/>
              </w:rPr>
              <w:t>Einzahlungskonten:</w:t>
            </w:r>
          </w:p>
          <w:p w14:paraId="7739416B" w14:textId="77777777" w:rsidR="00FD390B" w:rsidRPr="00265A17" w:rsidRDefault="00FD390B" w:rsidP="00FD390B">
            <w:pPr>
              <w:rPr>
                <w:rFonts w:ascii="Arial" w:hAnsi="Arial" w:cs="Arial"/>
                <w:sz w:val="22"/>
                <w:szCs w:val="24"/>
              </w:rPr>
            </w:pPr>
            <w:r w:rsidRPr="00265A17">
              <w:rPr>
                <w:rFonts w:ascii="Arial" w:hAnsi="Arial" w:cs="Arial"/>
                <w:sz w:val="22"/>
                <w:szCs w:val="24"/>
              </w:rPr>
              <w:t>613x, 614x, 618x, 623x, 648x und 681x</w:t>
            </w:r>
          </w:p>
          <w:p w14:paraId="6A8F9B22" w14:textId="77777777" w:rsidR="00FD390B" w:rsidRPr="00265A17" w:rsidRDefault="00FD390B" w:rsidP="00FD390B">
            <w:pPr>
              <w:rPr>
                <w:rFonts w:ascii="Arial" w:hAnsi="Arial" w:cs="Arial"/>
                <w:sz w:val="22"/>
                <w:szCs w:val="24"/>
              </w:rPr>
            </w:pPr>
            <w:r w:rsidRPr="00265A17">
              <w:rPr>
                <w:rFonts w:ascii="Arial" w:hAnsi="Arial" w:cs="Arial"/>
                <w:sz w:val="22"/>
                <w:szCs w:val="24"/>
              </w:rPr>
              <w:t>Auszahlungskonten:</w:t>
            </w:r>
          </w:p>
          <w:p w14:paraId="223F4B88" w14:textId="77777777" w:rsidR="00FD390B" w:rsidRPr="00265A17" w:rsidRDefault="00FD390B" w:rsidP="00FD390B">
            <w:pPr>
              <w:rPr>
                <w:rFonts w:ascii="Arial" w:hAnsi="Arial" w:cs="Arial"/>
                <w:b/>
                <w:sz w:val="22"/>
                <w:szCs w:val="24"/>
              </w:rPr>
            </w:pPr>
            <w:r w:rsidRPr="00265A17">
              <w:rPr>
                <w:rFonts w:ascii="Arial" w:hAnsi="Arial" w:cs="Arial"/>
                <w:sz w:val="22"/>
                <w:szCs w:val="24"/>
              </w:rPr>
              <w:t>731x, 732x, 735x, 737x, 745x, 781x</w:t>
            </w:r>
          </w:p>
        </w:tc>
        <w:tc>
          <w:tcPr>
            <w:tcW w:w="4531" w:type="dxa"/>
            <w:tcBorders>
              <w:bottom w:val="single" w:sz="4" w:space="0" w:color="auto"/>
            </w:tcBorders>
          </w:tcPr>
          <w:p w14:paraId="7141749F" w14:textId="77777777" w:rsidR="00FD390B" w:rsidRPr="00265A17" w:rsidRDefault="00FD390B" w:rsidP="00FD390B">
            <w:pPr>
              <w:jc w:val="center"/>
              <w:rPr>
                <w:rFonts w:ascii="Arial" w:hAnsi="Arial" w:cs="Arial"/>
                <w:sz w:val="22"/>
                <w:szCs w:val="24"/>
                <w:u w:val="single"/>
              </w:rPr>
            </w:pPr>
            <w:r w:rsidRPr="00265A17">
              <w:rPr>
                <w:rFonts w:ascii="Arial" w:hAnsi="Arial" w:cs="Arial"/>
                <w:sz w:val="22"/>
                <w:szCs w:val="24"/>
                <w:u w:val="single"/>
              </w:rPr>
              <w:t>Nur gültig für:</w:t>
            </w:r>
          </w:p>
          <w:p w14:paraId="7723FE41" w14:textId="77777777" w:rsidR="00FD390B" w:rsidRPr="00265A17" w:rsidRDefault="00FD390B" w:rsidP="00FD390B">
            <w:pPr>
              <w:jc w:val="center"/>
              <w:rPr>
                <w:rFonts w:ascii="Arial" w:hAnsi="Arial" w:cs="Arial"/>
                <w:sz w:val="22"/>
                <w:szCs w:val="24"/>
                <w:u w:val="single"/>
              </w:rPr>
            </w:pPr>
          </w:p>
          <w:p w14:paraId="3ADE059D" w14:textId="77777777" w:rsidR="00FD390B" w:rsidRPr="00265A17" w:rsidRDefault="00FD390B" w:rsidP="00FD390B">
            <w:pPr>
              <w:rPr>
                <w:rFonts w:ascii="Arial" w:hAnsi="Arial" w:cs="Arial"/>
                <w:sz w:val="22"/>
                <w:szCs w:val="24"/>
              </w:rPr>
            </w:pPr>
            <w:r w:rsidRPr="00265A17">
              <w:rPr>
                <w:rFonts w:ascii="Arial" w:hAnsi="Arial" w:cs="Arial"/>
                <w:sz w:val="22"/>
                <w:szCs w:val="24"/>
              </w:rPr>
              <w:t>Einzahlungskonten:</w:t>
            </w:r>
          </w:p>
          <w:p w14:paraId="728A3791" w14:textId="77777777" w:rsidR="00FD390B" w:rsidRPr="00265A17" w:rsidRDefault="00FD390B" w:rsidP="00FD390B">
            <w:pPr>
              <w:rPr>
                <w:rFonts w:ascii="Arial" w:hAnsi="Arial" w:cs="Arial"/>
                <w:sz w:val="22"/>
                <w:szCs w:val="24"/>
              </w:rPr>
            </w:pPr>
            <w:r w:rsidRPr="00265A17">
              <w:rPr>
                <w:rFonts w:ascii="Arial" w:hAnsi="Arial" w:cs="Arial"/>
                <w:sz w:val="22"/>
                <w:szCs w:val="24"/>
              </w:rPr>
              <w:t>661x, 686x, 692x und 695x</w:t>
            </w:r>
          </w:p>
          <w:p w14:paraId="3B82A638" w14:textId="77777777" w:rsidR="00FD390B" w:rsidRPr="00265A17" w:rsidRDefault="00FD390B" w:rsidP="00FD390B">
            <w:pPr>
              <w:rPr>
                <w:rFonts w:ascii="Arial" w:hAnsi="Arial" w:cs="Arial"/>
                <w:sz w:val="22"/>
                <w:szCs w:val="24"/>
              </w:rPr>
            </w:pPr>
            <w:r w:rsidRPr="00265A17">
              <w:rPr>
                <w:rFonts w:ascii="Arial" w:hAnsi="Arial" w:cs="Arial"/>
                <w:sz w:val="22"/>
                <w:szCs w:val="24"/>
              </w:rPr>
              <w:t>Auszahlungskonten:</w:t>
            </w:r>
          </w:p>
          <w:p w14:paraId="1E2F8597" w14:textId="77777777" w:rsidR="00FD390B" w:rsidRPr="00265A17" w:rsidRDefault="00FD390B" w:rsidP="00FD390B">
            <w:pPr>
              <w:rPr>
                <w:rFonts w:ascii="Arial" w:hAnsi="Arial" w:cs="Arial"/>
                <w:b/>
                <w:sz w:val="22"/>
                <w:szCs w:val="24"/>
              </w:rPr>
            </w:pPr>
            <w:r w:rsidRPr="00265A17">
              <w:rPr>
                <w:rFonts w:ascii="Arial" w:hAnsi="Arial" w:cs="Arial"/>
                <w:sz w:val="22"/>
                <w:szCs w:val="24"/>
              </w:rPr>
              <w:t>751x, 786x, 792x und 795x</w:t>
            </w:r>
          </w:p>
        </w:tc>
      </w:tr>
    </w:tbl>
    <w:p w14:paraId="3D84EA66" w14:textId="77777777" w:rsidR="00FD390B" w:rsidRPr="00265A17" w:rsidRDefault="00FD390B" w:rsidP="00FD390B">
      <w:pPr>
        <w:rPr>
          <w:szCs w:val="24"/>
        </w:rPr>
      </w:pPr>
    </w:p>
    <w:p w14:paraId="79FCD47F" w14:textId="3640038A" w:rsidR="00540F17" w:rsidRPr="00265A17" w:rsidRDefault="00FD390B" w:rsidP="00540F17">
      <w:pPr>
        <w:spacing w:line="240" w:lineRule="atLeast"/>
        <w:rPr>
          <w:rFonts w:ascii="Arial" w:hAnsi="Arial" w:cs="Arial"/>
          <w:szCs w:val="24"/>
        </w:rPr>
      </w:pPr>
      <w:r w:rsidRPr="00265A17">
        <w:rPr>
          <w:rFonts w:ascii="Arial" w:hAnsi="Arial" w:cs="Arial"/>
          <w:szCs w:val="24"/>
        </w:rPr>
        <w:t xml:space="preserve">Um Ihnen die Zuordnung der Zahlungsströme zu erleichtern, können Sie der nachfolgenden Tabelle den Bereichsabgrenzungen A und B, jeweils eine Erläuterung sowie teilweise Beispiele für einzahlende Institutionen bzw. erhaltende Zahlungsempfänger entnehmen. </w:t>
      </w:r>
    </w:p>
    <w:p w14:paraId="50D4984D" w14:textId="77777777" w:rsidR="00540F17" w:rsidRPr="00540F17" w:rsidRDefault="00540F17" w:rsidP="00540F17">
      <w:pPr>
        <w:spacing w:line="240" w:lineRule="atLeast"/>
        <w:rPr>
          <w:rFonts w:ascii="Arial" w:hAnsi="Arial" w:cs="Arial"/>
          <w:sz w:val="24"/>
          <w:szCs w:val="24"/>
        </w:rPr>
      </w:pPr>
    </w:p>
    <w:tbl>
      <w:tblPr>
        <w:tblStyle w:val="Tabellenraster1"/>
        <w:tblW w:w="0" w:type="auto"/>
        <w:tblLook w:val="04A0" w:firstRow="1" w:lastRow="0" w:firstColumn="1" w:lastColumn="0" w:noHBand="0" w:noVBand="1"/>
      </w:tblPr>
      <w:tblGrid>
        <w:gridCol w:w="4531"/>
        <w:gridCol w:w="4531"/>
      </w:tblGrid>
      <w:tr w:rsidR="00540F17" w:rsidRPr="00540F17" w14:paraId="2C06FF3F" w14:textId="77777777" w:rsidTr="00B1260C">
        <w:tc>
          <w:tcPr>
            <w:tcW w:w="9062" w:type="dxa"/>
            <w:gridSpan w:val="2"/>
          </w:tcPr>
          <w:p w14:paraId="7370F5B5" w14:textId="77777777" w:rsidR="00540F17" w:rsidRPr="00540F17" w:rsidRDefault="00540F17" w:rsidP="00540F17">
            <w:pPr>
              <w:rPr>
                <w:rFonts w:ascii="Arial" w:hAnsi="Arial" w:cs="Arial"/>
                <w:b/>
              </w:rPr>
            </w:pPr>
            <w:r w:rsidRPr="00540F17">
              <w:rPr>
                <w:rFonts w:ascii="Arial" w:hAnsi="Arial" w:cs="Arial"/>
                <w:b/>
              </w:rPr>
              <w:t>Bereichsabgrenzung A und B</w:t>
            </w:r>
          </w:p>
          <w:p w14:paraId="4F8F1E68" w14:textId="77777777" w:rsidR="00540F17" w:rsidRPr="00540F17" w:rsidRDefault="00540F17" w:rsidP="00540F17">
            <w:pPr>
              <w:rPr>
                <w:rFonts w:ascii="Arial" w:hAnsi="Arial" w:cs="Arial"/>
                <w:b/>
              </w:rPr>
            </w:pPr>
          </w:p>
          <w:p w14:paraId="408E6D26" w14:textId="77777777" w:rsidR="00540F17" w:rsidRPr="00540F17" w:rsidRDefault="00540F17" w:rsidP="00540F17">
            <w:pPr>
              <w:rPr>
                <w:rFonts w:ascii="Arial" w:hAnsi="Arial" w:cs="Arial"/>
                <w:b/>
              </w:rPr>
            </w:pPr>
            <w:r w:rsidRPr="00540F17">
              <w:rPr>
                <w:rFonts w:ascii="Arial" w:hAnsi="Arial" w:cs="Arial"/>
                <w:b/>
              </w:rPr>
              <w:t>..0 Bund</w:t>
            </w:r>
          </w:p>
          <w:p w14:paraId="32FE1DD4" w14:textId="77777777" w:rsidR="00540F17" w:rsidRPr="00540F17" w:rsidRDefault="00540F17" w:rsidP="00540F17">
            <w:pPr>
              <w:numPr>
                <w:ilvl w:val="0"/>
                <w:numId w:val="16"/>
              </w:numPr>
              <w:spacing w:line="240" w:lineRule="auto"/>
              <w:ind w:left="743"/>
              <w:contextualSpacing/>
              <w:rPr>
                <w:rFonts w:ascii="Arial" w:hAnsi="Arial" w:cs="Arial"/>
              </w:rPr>
            </w:pPr>
            <w:r w:rsidRPr="00540F17">
              <w:rPr>
                <w:rFonts w:ascii="Arial" w:hAnsi="Arial" w:cs="Arial"/>
              </w:rPr>
              <w:t>Bundesministerien/Bundesämter</w:t>
            </w:r>
          </w:p>
          <w:p w14:paraId="59CB0B61" w14:textId="77777777" w:rsidR="00540F17" w:rsidRPr="00540F17" w:rsidRDefault="00540F17" w:rsidP="00540F17">
            <w:pPr>
              <w:numPr>
                <w:ilvl w:val="0"/>
                <w:numId w:val="16"/>
              </w:numPr>
              <w:spacing w:line="240" w:lineRule="auto"/>
              <w:ind w:left="743"/>
              <w:contextualSpacing/>
              <w:rPr>
                <w:rFonts w:ascii="Arial" w:hAnsi="Arial" w:cs="Arial"/>
              </w:rPr>
            </w:pPr>
            <w:r w:rsidRPr="00540F17">
              <w:rPr>
                <w:rFonts w:ascii="Arial" w:hAnsi="Arial" w:cs="Arial"/>
              </w:rPr>
              <w:t>Bundeskasse Halle/Trier</w:t>
            </w:r>
          </w:p>
          <w:p w14:paraId="266B657B" w14:textId="77777777" w:rsidR="005C6D91" w:rsidRDefault="005C6D91" w:rsidP="005C6D91">
            <w:pPr>
              <w:pStyle w:val="Listenabsatz"/>
              <w:numPr>
                <w:ilvl w:val="0"/>
                <w:numId w:val="16"/>
              </w:numPr>
              <w:spacing w:line="240" w:lineRule="auto"/>
              <w:ind w:left="743"/>
              <w:rPr>
                <w:rFonts w:ascii="Arial" w:hAnsi="Arial" w:cs="Arial"/>
              </w:rPr>
            </w:pPr>
            <w:r w:rsidRPr="00763A70">
              <w:rPr>
                <w:rFonts w:ascii="Arial" w:hAnsi="Arial" w:cs="Arial"/>
              </w:rPr>
              <w:t xml:space="preserve">Div. </w:t>
            </w:r>
            <w:hyperlink r:id="rId12" w:history="1">
              <w:r w:rsidRPr="00763A70">
                <w:rPr>
                  <w:rStyle w:val="Hyperlink"/>
                  <w:rFonts w:ascii="Arial" w:hAnsi="Arial" w:cs="Arial"/>
                </w:rPr>
                <w:t>Projektträger</w:t>
              </w:r>
            </w:hyperlink>
            <w:r w:rsidRPr="00763A70">
              <w:rPr>
                <w:rFonts w:ascii="Arial" w:hAnsi="Arial" w:cs="Arial"/>
              </w:rPr>
              <w:t>, bspw. Jülich, Zukunft-Umwelt-Gesellschaft (ZUG) gGmbH</w:t>
            </w:r>
            <w:r>
              <w:rPr>
                <w:rFonts w:ascii="Arial" w:hAnsi="Arial" w:cs="Arial"/>
              </w:rPr>
              <w:t xml:space="preserve">, </w:t>
            </w:r>
          </w:p>
          <w:p w14:paraId="0424DA73" w14:textId="5A9C2882" w:rsidR="00F16479" w:rsidRDefault="005C6D91" w:rsidP="00F16479">
            <w:pPr>
              <w:pStyle w:val="Listenabsatz"/>
              <w:spacing w:line="240" w:lineRule="auto"/>
              <w:ind w:left="743"/>
              <w:rPr>
                <w:rFonts w:ascii="Arial" w:hAnsi="Arial" w:cs="Arial"/>
              </w:rPr>
            </w:pPr>
            <w:r w:rsidRPr="007001B6">
              <w:rPr>
                <w:rFonts w:ascii="Arial" w:hAnsi="Arial" w:cs="Arial"/>
              </w:rPr>
              <w:t>gsub (Gesellschaft für soziale Unternehmensberatung)</w:t>
            </w:r>
            <w:r>
              <w:rPr>
                <w:rFonts w:ascii="Arial" w:hAnsi="Arial" w:cs="Arial"/>
              </w:rPr>
              <w:t xml:space="preserve">, </w:t>
            </w:r>
            <w:r w:rsidRPr="007001B6">
              <w:rPr>
                <w:rFonts w:ascii="Arial" w:hAnsi="Arial" w:cs="Arial"/>
              </w:rPr>
              <w:t>DLR (Deutsches Zentrum für Luft- und Raumfahrt)</w:t>
            </w:r>
            <w:r>
              <w:rPr>
                <w:rFonts w:ascii="Arial" w:hAnsi="Arial" w:cs="Arial"/>
              </w:rPr>
              <w:t xml:space="preserve">, </w:t>
            </w:r>
            <w:r w:rsidRPr="00E57023">
              <w:rPr>
                <w:rFonts w:ascii="Arial" w:hAnsi="Arial" w:cs="Arial"/>
              </w:rPr>
              <w:t>Atene KOM</w:t>
            </w:r>
            <w:r>
              <w:rPr>
                <w:rFonts w:ascii="Arial" w:hAnsi="Arial" w:cs="Arial"/>
              </w:rPr>
              <w:t xml:space="preserve">, </w:t>
            </w:r>
            <w:r w:rsidR="00F16479" w:rsidRPr="00F16479">
              <w:rPr>
                <w:rFonts w:ascii="Arial" w:hAnsi="Arial" w:cs="Arial"/>
              </w:rPr>
              <w:t>Fachagentur Nachwachsende Rohstoffe e.V., Nationale Klimaschutzinitiative (NKI), Energiepreispauschale etc.</w:t>
            </w:r>
          </w:p>
          <w:p w14:paraId="33CAE3BC" w14:textId="1251A85A" w:rsidR="00F16479" w:rsidRDefault="00F16479" w:rsidP="00F16479">
            <w:pPr>
              <w:pStyle w:val="Listenabsatz"/>
              <w:numPr>
                <w:ilvl w:val="0"/>
                <w:numId w:val="16"/>
              </w:numPr>
              <w:spacing w:line="240" w:lineRule="auto"/>
              <w:rPr>
                <w:rFonts w:ascii="Arial" w:hAnsi="Arial" w:cs="Arial"/>
              </w:rPr>
            </w:pPr>
            <w:r>
              <w:rPr>
                <w:rFonts w:ascii="Arial" w:hAnsi="Arial" w:cs="Arial"/>
              </w:rPr>
              <w:t>Energiepreisbremse und Strompreisbremse</w:t>
            </w:r>
          </w:p>
          <w:p w14:paraId="61B42E0E" w14:textId="58F652F3" w:rsidR="00F16479" w:rsidRPr="00F16479" w:rsidRDefault="00F16479" w:rsidP="00F16479">
            <w:pPr>
              <w:pStyle w:val="Listenabsatz"/>
              <w:numPr>
                <w:ilvl w:val="0"/>
                <w:numId w:val="16"/>
              </w:numPr>
              <w:spacing w:line="240" w:lineRule="auto"/>
              <w:rPr>
                <w:rFonts w:ascii="Arial" w:hAnsi="Arial" w:cs="Arial"/>
              </w:rPr>
            </w:pPr>
            <w:r>
              <w:rPr>
                <w:rFonts w:ascii="Arial" w:hAnsi="Arial" w:cs="Arial"/>
              </w:rPr>
              <w:t>Förderprogramm des Bundesministeriums</w:t>
            </w:r>
          </w:p>
          <w:p w14:paraId="0422C0A9" w14:textId="562E9D82" w:rsidR="00265A17" w:rsidRDefault="00265A17" w:rsidP="00540F17">
            <w:pPr>
              <w:rPr>
                <w:rFonts w:ascii="Arial" w:hAnsi="Arial" w:cs="Arial"/>
              </w:rPr>
            </w:pPr>
          </w:p>
          <w:p w14:paraId="555D754B" w14:textId="1E7C3F84" w:rsidR="00F16479" w:rsidRDefault="00F16479" w:rsidP="00540F17">
            <w:pPr>
              <w:rPr>
                <w:rFonts w:ascii="Arial" w:hAnsi="Arial" w:cs="Arial"/>
              </w:rPr>
            </w:pPr>
          </w:p>
          <w:p w14:paraId="1F9D5CEF" w14:textId="11814D65" w:rsidR="00F16479" w:rsidRDefault="00F16479" w:rsidP="00540F17">
            <w:pPr>
              <w:rPr>
                <w:rFonts w:ascii="Arial" w:hAnsi="Arial" w:cs="Arial"/>
              </w:rPr>
            </w:pPr>
          </w:p>
          <w:p w14:paraId="2882E8A5" w14:textId="61BA929E" w:rsidR="00F16479" w:rsidRDefault="00F16479" w:rsidP="00540F17">
            <w:pPr>
              <w:rPr>
                <w:rFonts w:ascii="Arial" w:hAnsi="Arial" w:cs="Arial"/>
              </w:rPr>
            </w:pPr>
          </w:p>
          <w:p w14:paraId="4D97A877" w14:textId="0C9C9AD5" w:rsidR="00F16479" w:rsidRDefault="00F16479" w:rsidP="00540F17">
            <w:pPr>
              <w:rPr>
                <w:rFonts w:ascii="Arial" w:hAnsi="Arial" w:cs="Arial"/>
              </w:rPr>
            </w:pPr>
          </w:p>
          <w:p w14:paraId="6EEC968C" w14:textId="267481F6" w:rsidR="00F16479" w:rsidRDefault="00F16479" w:rsidP="00540F17">
            <w:pPr>
              <w:rPr>
                <w:rFonts w:ascii="Arial" w:hAnsi="Arial" w:cs="Arial"/>
              </w:rPr>
            </w:pPr>
          </w:p>
          <w:p w14:paraId="5EAA81EC" w14:textId="77777777" w:rsidR="00C22A1C" w:rsidRDefault="00C22A1C" w:rsidP="00540F17">
            <w:pPr>
              <w:rPr>
                <w:rFonts w:ascii="Arial" w:hAnsi="Arial" w:cs="Arial"/>
              </w:rPr>
            </w:pPr>
          </w:p>
          <w:p w14:paraId="2F38B092" w14:textId="4F62476F" w:rsidR="00F16479" w:rsidRDefault="00F16479" w:rsidP="00540F17">
            <w:pPr>
              <w:rPr>
                <w:rFonts w:ascii="Arial" w:hAnsi="Arial" w:cs="Arial"/>
              </w:rPr>
            </w:pPr>
          </w:p>
          <w:p w14:paraId="085B460B" w14:textId="0EA68D92" w:rsidR="00F16479" w:rsidRDefault="00F16479" w:rsidP="00540F17">
            <w:pPr>
              <w:rPr>
                <w:rFonts w:ascii="Arial" w:hAnsi="Arial" w:cs="Arial"/>
              </w:rPr>
            </w:pPr>
          </w:p>
          <w:p w14:paraId="2691C6A0" w14:textId="3D75AD69" w:rsidR="00F16479" w:rsidRDefault="00F16479" w:rsidP="00540F17">
            <w:pPr>
              <w:rPr>
                <w:rFonts w:ascii="Arial" w:hAnsi="Arial" w:cs="Arial"/>
              </w:rPr>
            </w:pPr>
          </w:p>
          <w:p w14:paraId="668A6730" w14:textId="77777777" w:rsidR="00F16479" w:rsidRPr="00540F17" w:rsidRDefault="00F16479" w:rsidP="00540F17">
            <w:pPr>
              <w:rPr>
                <w:rFonts w:ascii="Arial" w:hAnsi="Arial" w:cs="Arial"/>
              </w:rPr>
            </w:pPr>
          </w:p>
          <w:p w14:paraId="0705A1F1" w14:textId="77777777" w:rsidR="00540F17" w:rsidRPr="00540F17" w:rsidRDefault="00540F17" w:rsidP="00540F17">
            <w:pPr>
              <w:rPr>
                <w:rFonts w:ascii="Arial" w:hAnsi="Arial" w:cs="Arial"/>
                <w:b/>
              </w:rPr>
            </w:pPr>
            <w:r w:rsidRPr="00540F17">
              <w:rPr>
                <w:rFonts w:ascii="Arial" w:hAnsi="Arial" w:cs="Arial"/>
                <w:b/>
              </w:rPr>
              <w:t>..1 Land</w:t>
            </w:r>
          </w:p>
          <w:p w14:paraId="7E225897" w14:textId="3EF824D8"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Landesministerien/Landesämter</w:t>
            </w:r>
          </w:p>
          <w:p w14:paraId="06AD81FC" w14:textId="70B8D8C1"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HCC</w:t>
            </w:r>
          </w:p>
          <w:p w14:paraId="49604E07" w14:textId="1A70348F"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lastRenderedPageBreak/>
              <w:t>Hessen Mobil</w:t>
            </w:r>
          </w:p>
          <w:p w14:paraId="0E9E4633" w14:textId="0563A114"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Hessen Forst</w:t>
            </w:r>
          </w:p>
          <w:p w14:paraId="68F7DC54" w14:textId="67C53E64"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Regierungspräsidien</w:t>
            </w:r>
          </w:p>
          <w:p w14:paraId="07CC7F80" w14:textId="55F0CE87" w:rsidR="00540F17" w:rsidRDefault="00540F17" w:rsidP="00F16479">
            <w:pPr>
              <w:pStyle w:val="Listenabsatz"/>
              <w:numPr>
                <w:ilvl w:val="0"/>
                <w:numId w:val="16"/>
              </w:numPr>
              <w:spacing w:line="240" w:lineRule="auto"/>
              <w:rPr>
                <w:rFonts w:ascii="Arial" w:hAnsi="Arial" w:cs="Arial"/>
              </w:rPr>
            </w:pPr>
            <w:r w:rsidRPr="00540F17">
              <w:rPr>
                <w:rFonts w:ascii="Arial" w:hAnsi="Arial" w:cs="Arial"/>
              </w:rPr>
              <w:t xml:space="preserve">WI-Bank </w:t>
            </w:r>
            <w:r w:rsidRPr="00F16479">
              <w:rPr>
                <w:rFonts w:ascii="Arial" w:hAnsi="Arial" w:cs="Arial"/>
              </w:rPr>
              <w:t>(nur bei Bereichsabgrenzung A)</w:t>
            </w:r>
          </w:p>
          <w:p w14:paraId="122FFEE4" w14:textId="1940FB66" w:rsidR="00F16479" w:rsidRPr="00F16479" w:rsidRDefault="00F16479" w:rsidP="00F16479">
            <w:pPr>
              <w:pStyle w:val="Listenabsatz"/>
              <w:numPr>
                <w:ilvl w:val="0"/>
                <w:numId w:val="16"/>
              </w:numPr>
              <w:spacing w:line="240" w:lineRule="auto"/>
              <w:rPr>
                <w:rFonts w:ascii="Arial" w:hAnsi="Arial" w:cs="Arial"/>
              </w:rPr>
            </w:pPr>
            <w:r>
              <w:rPr>
                <w:rFonts w:ascii="Arial" w:hAnsi="Arial" w:cs="Arial"/>
              </w:rPr>
              <w:t>Förderungen des Landes Hessen</w:t>
            </w:r>
          </w:p>
          <w:p w14:paraId="36FA62DB" w14:textId="529AF085" w:rsidR="000B3A8F" w:rsidRPr="00540F17" w:rsidRDefault="00540F17" w:rsidP="00540F17">
            <w:pPr>
              <w:rPr>
                <w:rFonts w:ascii="Arial" w:hAnsi="Arial" w:cs="Arial"/>
              </w:rPr>
            </w:pPr>
            <w:r w:rsidRPr="00540F17">
              <w:rPr>
                <w:rFonts w:ascii="Arial" w:hAnsi="Arial" w:cs="Arial"/>
              </w:rPr>
              <w:t>Gilt auch bei Institutionen anderer Bundesländer</w:t>
            </w:r>
          </w:p>
          <w:p w14:paraId="62B7E26A" w14:textId="0385CE3F" w:rsidR="005C6D91" w:rsidRPr="00540F17" w:rsidRDefault="005C6D91" w:rsidP="00540F17">
            <w:pPr>
              <w:rPr>
                <w:rFonts w:ascii="Arial" w:hAnsi="Arial" w:cs="Arial"/>
              </w:rPr>
            </w:pPr>
          </w:p>
          <w:p w14:paraId="1CDEE20D" w14:textId="412C74BD" w:rsidR="00540F17" w:rsidRDefault="00540F17" w:rsidP="00540F17">
            <w:pPr>
              <w:rPr>
                <w:rFonts w:ascii="Arial" w:hAnsi="Arial" w:cs="Arial"/>
                <w:b/>
              </w:rPr>
            </w:pPr>
            <w:r w:rsidRPr="00540F17">
              <w:rPr>
                <w:rFonts w:ascii="Arial" w:hAnsi="Arial" w:cs="Arial"/>
                <w:b/>
              </w:rPr>
              <w:t>..2 Gemeinden / Gemeindeverbände</w:t>
            </w:r>
          </w:p>
          <w:p w14:paraId="2D92DC5F" w14:textId="77B12AA8"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Kreisfreie Städte</w:t>
            </w:r>
          </w:p>
          <w:p w14:paraId="761D0592" w14:textId="29518E8D"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 xml:space="preserve">Kreisangehörige Gemeinden </w:t>
            </w:r>
          </w:p>
          <w:p w14:paraId="526BA2CE" w14:textId="3F8A34BD"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 xml:space="preserve">Gemeindeverbände (Gv.) </w:t>
            </w:r>
          </w:p>
          <w:p w14:paraId="0651A0EA" w14:textId="02F87B02"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Landkreise</w:t>
            </w:r>
          </w:p>
          <w:p w14:paraId="0496EFF4" w14:textId="4E68E503"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Bezirksverbände (in Hessen LWV)</w:t>
            </w:r>
          </w:p>
          <w:p w14:paraId="2D8006EF" w14:textId="77777777" w:rsidR="00540F17" w:rsidRPr="00540F17" w:rsidRDefault="00540F17" w:rsidP="00540F17">
            <w:pPr>
              <w:rPr>
                <w:rFonts w:ascii="Arial" w:hAnsi="Arial" w:cs="Arial"/>
              </w:rPr>
            </w:pPr>
          </w:p>
          <w:p w14:paraId="2396C782" w14:textId="77777777" w:rsidR="00540F17" w:rsidRPr="00540F17" w:rsidRDefault="00540F17" w:rsidP="00540F17">
            <w:pPr>
              <w:rPr>
                <w:rFonts w:ascii="Arial" w:hAnsi="Arial" w:cs="Arial"/>
              </w:rPr>
            </w:pPr>
            <w:r w:rsidRPr="00540F17">
              <w:rPr>
                <w:rFonts w:ascii="Arial" w:hAnsi="Arial" w:cs="Arial"/>
              </w:rPr>
              <w:t>Gilt auch bei Gemeinden / Gv. anderer Bundesländer</w:t>
            </w:r>
          </w:p>
          <w:p w14:paraId="6A70810B" w14:textId="77777777" w:rsidR="00540F17" w:rsidRPr="00540F17" w:rsidRDefault="00540F17" w:rsidP="00540F17">
            <w:pPr>
              <w:rPr>
                <w:rFonts w:ascii="Arial" w:hAnsi="Arial" w:cs="Arial"/>
              </w:rPr>
            </w:pPr>
          </w:p>
          <w:p w14:paraId="7A3E887C" w14:textId="6BC4C110" w:rsidR="00540F17" w:rsidRPr="00C22A1C" w:rsidRDefault="00540F17" w:rsidP="00540F17">
            <w:pPr>
              <w:rPr>
                <w:rFonts w:ascii="Arial" w:hAnsi="Arial" w:cs="Arial"/>
                <w:b/>
              </w:rPr>
            </w:pPr>
            <w:r w:rsidRPr="00540F17">
              <w:rPr>
                <w:rFonts w:ascii="Arial" w:hAnsi="Arial" w:cs="Arial"/>
                <w:b/>
              </w:rPr>
              <w:t>..3 Zweckverbände</w:t>
            </w:r>
          </w:p>
          <w:p w14:paraId="4C06F010" w14:textId="77777777" w:rsidR="00540F17" w:rsidRPr="00540F17" w:rsidRDefault="00540F17" w:rsidP="00540F17">
            <w:pPr>
              <w:rPr>
                <w:rFonts w:ascii="Arial" w:hAnsi="Arial" w:cs="Arial"/>
              </w:rPr>
            </w:pPr>
            <w:r w:rsidRPr="00540F17">
              <w:rPr>
                <w:rFonts w:ascii="Arial" w:hAnsi="Arial" w:cs="Arial"/>
              </w:rPr>
              <w:t>Verbände und sonstige Organisationen in öffentlich, rechtlicher Form, die kommunale Aufgaben erfüllen und mindestens eine Gemeinde oder einen Gemeindeverband zum Mitglied haben.</w:t>
            </w:r>
          </w:p>
          <w:p w14:paraId="413468C2" w14:textId="77777777" w:rsidR="00540F17" w:rsidRPr="00540F17" w:rsidRDefault="00540F17" w:rsidP="00540F17">
            <w:pPr>
              <w:rPr>
                <w:rFonts w:ascii="Arial" w:hAnsi="Arial" w:cs="Arial"/>
              </w:rPr>
            </w:pPr>
          </w:p>
          <w:p w14:paraId="2DB9740E" w14:textId="5956F117" w:rsidR="00540F17" w:rsidRPr="00C22A1C" w:rsidRDefault="00540F17" w:rsidP="00540F17">
            <w:pPr>
              <w:rPr>
                <w:rFonts w:ascii="Arial" w:hAnsi="Arial" w:cs="Arial"/>
                <w:b/>
              </w:rPr>
            </w:pPr>
            <w:r w:rsidRPr="00540F17">
              <w:rPr>
                <w:rFonts w:ascii="Arial" w:hAnsi="Arial" w:cs="Arial"/>
                <w:b/>
              </w:rPr>
              <w:t>..4 Gesetzliche Sozialversicherung</w:t>
            </w:r>
          </w:p>
          <w:p w14:paraId="3EA60F35" w14:textId="77777777" w:rsidR="00540F17" w:rsidRPr="00540F17" w:rsidRDefault="00540F17" w:rsidP="00540F17">
            <w:pPr>
              <w:rPr>
                <w:rFonts w:ascii="Arial" w:hAnsi="Arial" w:cs="Arial"/>
              </w:rPr>
            </w:pPr>
            <w:r w:rsidRPr="00540F17">
              <w:rPr>
                <w:rFonts w:ascii="Arial" w:hAnsi="Arial" w:cs="Arial"/>
              </w:rPr>
              <w:t xml:space="preserve">Nur Träger der gesetzl. Arbeitslosen-, Kranken-, Pflege-, Unfall- und Rentenversicherung </w:t>
            </w:r>
          </w:p>
          <w:p w14:paraId="03A24118" w14:textId="442214C1"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Krankenkassen nach SGB V</w:t>
            </w:r>
          </w:p>
          <w:p w14:paraId="02A7EB39" w14:textId="57CE90EA"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Pflegekassen nach SGB XI</w:t>
            </w:r>
          </w:p>
          <w:p w14:paraId="7EF79157" w14:textId="309931EA"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 xml:space="preserve">Bundesagentur für Arbeit </w:t>
            </w:r>
          </w:p>
          <w:p w14:paraId="7A8FBA2E" w14:textId="434E24A9"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Unfallkassen nach SGB VII</w:t>
            </w:r>
          </w:p>
          <w:p w14:paraId="76E66620" w14:textId="4ABAE2A6"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Rentenversicherung nach SGB VI</w:t>
            </w:r>
          </w:p>
          <w:p w14:paraId="7FE8DDB8" w14:textId="77777777" w:rsidR="00540F17" w:rsidRPr="00540F17" w:rsidRDefault="00540F17" w:rsidP="00540F17">
            <w:pPr>
              <w:rPr>
                <w:rFonts w:ascii="Arial" w:hAnsi="Arial" w:cs="Arial"/>
              </w:rPr>
            </w:pPr>
          </w:p>
          <w:p w14:paraId="238EE50A" w14:textId="77777777" w:rsidR="00540F17" w:rsidRPr="00540F17" w:rsidRDefault="00540F17" w:rsidP="00540F17">
            <w:pPr>
              <w:rPr>
                <w:rFonts w:ascii="Arial" w:hAnsi="Arial" w:cs="Arial"/>
              </w:rPr>
            </w:pPr>
            <w:r w:rsidRPr="00540F17">
              <w:rPr>
                <w:rFonts w:ascii="Arial" w:hAnsi="Arial" w:cs="Arial"/>
              </w:rPr>
              <w:t>Alle anderen Versicherungen sind den Bereichsabgrenzungen 6 bis 8 zuzuordnen.</w:t>
            </w:r>
          </w:p>
          <w:p w14:paraId="3BF57A96" w14:textId="77777777" w:rsidR="00540F17" w:rsidRPr="00540F17" w:rsidRDefault="00540F17" w:rsidP="00540F17">
            <w:pPr>
              <w:rPr>
                <w:rFonts w:ascii="Arial" w:hAnsi="Arial" w:cs="Arial"/>
              </w:rPr>
            </w:pPr>
          </w:p>
          <w:p w14:paraId="0BD0EA10" w14:textId="5A5C3E04" w:rsidR="00540F17" w:rsidRPr="00C22A1C" w:rsidRDefault="00540F17" w:rsidP="00540F17">
            <w:pPr>
              <w:rPr>
                <w:rFonts w:ascii="Arial" w:hAnsi="Arial" w:cs="Arial"/>
                <w:b/>
              </w:rPr>
            </w:pPr>
            <w:r w:rsidRPr="00540F17">
              <w:rPr>
                <w:rFonts w:ascii="Arial" w:hAnsi="Arial" w:cs="Arial"/>
                <w:b/>
              </w:rPr>
              <w:t>..5 Verbundene Unternehmen, Beteiligungen und Sondervermögen</w:t>
            </w:r>
          </w:p>
          <w:p w14:paraId="68B00CFA" w14:textId="77777777" w:rsidR="00540F17" w:rsidRPr="00540F17" w:rsidRDefault="00540F17" w:rsidP="00540F17">
            <w:pPr>
              <w:rPr>
                <w:rFonts w:ascii="Arial" w:hAnsi="Arial" w:cs="Arial"/>
              </w:rPr>
            </w:pPr>
            <w:r w:rsidRPr="00540F17">
              <w:rPr>
                <w:rFonts w:ascii="Arial" w:hAnsi="Arial" w:cs="Arial"/>
              </w:rPr>
              <w:t xml:space="preserve">Zahlungsbeziehungen mit Einheiten an der die meldende Berichtsstelle </w:t>
            </w:r>
            <w:r w:rsidRPr="00540F17">
              <w:rPr>
                <w:rFonts w:ascii="Arial" w:hAnsi="Arial" w:cs="Arial"/>
                <w:b/>
                <w:u w:val="single"/>
              </w:rPr>
              <w:t>mit mehr als 50%</w:t>
            </w:r>
            <w:r w:rsidRPr="00540F17">
              <w:rPr>
                <w:rFonts w:ascii="Arial" w:hAnsi="Arial" w:cs="Arial"/>
              </w:rPr>
              <w:t xml:space="preserve"> der Anteile am Nennkapital mittelbar (indirekt, über andere Beteiligungen) oder unmittelbar (direkt) besitzt. </w:t>
            </w:r>
          </w:p>
          <w:p w14:paraId="44EEB042" w14:textId="579C52B8"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Eigenbetriebe</w:t>
            </w:r>
          </w:p>
          <w:p w14:paraId="13EC9ADD" w14:textId="06EB2A03"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Eigengesellschaften</w:t>
            </w:r>
          </w:p>
          <w:p w14:paraId="76FDBD50" w14:textId="609C3344" w:rsidR="00540F17" w:rsidRPr="00540F17" w:rsidRDefault="00540F17" w:rsidP="00F16479">
            <w:pPr>
              <w:pStyle w:val="Listenabsatz"/>
              <w:numPr>
                <w:ilvl w:val="0"/>
                <w:numId w:val="16"/>
              </w:numPr>
              <w:spacing w:line="240" w:lineRule="auto"/>
              <w:rPr>
                <w:rFonts w:ascii="Arial" w:hAnsi="Arial" w:cs="Arial"/>
              </w:rPr>
            </w:pPr>
            <w:r w:rsidRPr="00540F17">
              <w:rPr>
                <w:rFonts w:ascii="Arial" w:hAnsi="Arial" w:cs="Arial"/>
              </w:rPr>
              <w:t>Jobcenter als gemeinsame Einrichtung</w:t>
            </w:r>
          </w:p>
          <w:p w14:paraId="7F54ACA1" w14:textId="37F2A97F" w:rsidR="00540F17" w:rsidRDefault="00540F17" w:rsidP="00540F17">
            <w:pPr>
              <w:rPr>
                <w:rFonts w:ascii="Arial" w:hAnsi="Arial" w:cs="Arial"/>
                <w:b/>
              </w:rPr>
            </w:pPr>
          </w:p>
          <w:p w14:paraId="735D319E" w14:textId="7FAB929B" w:rsidR="00265A17" w:rsidRDefault="00265A17" w:rsidP="00540F17">
            <w:pPr>
              <w:rPr>
                <w:rFonts w:ascii="Arial" w:hAnsi="Arial" w:cs="Arial"/>
                <w:b/>
              </w:rPr>
            </w:pPr>
          </w:p>
          <w:p w14:paraId="74244675" w14:textId="658F5662" w:rsidR="00265A17" w:rsidRDefault="00265A17" w:rsidP="00540F17">
            <w:pPr>
              <w:rPr>
                <w:rFonts w:ascii="Arial" w:hAnsi="Arial" w:cs="Arial"/>
                <w:b/>
              </w:rPr>
            </w:pPr>
          </w:p>
          <w:p w14:paraId="46F1DCA5" w14:textId="4E226B08" w:rsidR="00265A17" w:rsidRDefault="00265A17" w:rsidP="00540F17">
            <w:pPr>
              <w:rPr>
                <w:rFonts w:ascii="Arial" w:hAnsi="Arial" w:cs="Arial"/>
                <w:b/>
              </w:rPr>
            </w:pPr>
          </w:p>
          <w:p w14:paraId="1970FEAB" w14:textId="61564D91" w:rsidR="00BC0062" w:rsidRDefault="00BC0062" w:rsidP="00540F17">
            <w:pPr>
              <w:rPr>
                <w:rFonts w:ascii="Arial" w:hAnsi="Arial" w:cs="Arial"/>
                <w:b/>
              </w:rPr>
            </w:pPr>
          </w:p>
          <w:p w14:paraId="46EA8BDE" w14:textId="6CC10CAF" w:rsidR="00BC0062" w:rsidRDefault="00BC0062" w:rsidP="00540F17">
            <w:pPr>
              <w:rPr>
                <w:rFonts w:ascii="Arial" w:hAnsi="Arial" w:cs="Arial"/>
                <w:b/>
              </w:rPr>
            </w:pPr>
          </w:p>
          <w:p w14:paraId="45107E06" w14:textId="5A166701" w:rsidR="00C22A1C" w:rsidRDefault="00C22A1C" w:rsidP="00540F17">
            <w:pPr>
              <w:rPr>
                <w:rFonts w:ascii="Arial" w:hAnsi="Arial" w:cs="Arial"/>
                <w:b/>
              </w:rPr>
            </w:pPr>
          </w:p>
          <w:p w14:paraId="287A83B5" w14:textId="1302BE87" w:rsidR="00C22A1C" w:rsidRDefault="00C22A1C" w:rsidP="00540F17">
            <w:pPr>
              <w:rPr>
                <w:rFonts w:ascii="Arial" w:hAnsi="Arial" w:cs="Arial"/>
                <w:b/>
              </w:rPr>
            </w:pPr>
          </w:p>
          <w:p w14:paraId="6B540CA5" w14:textId="77777777" w:rsidR="00C22A1C" w:rsidRDefault="00C22A1C" w:rsidP="00540F17">
            <w:pPr>
              <w:rPr>
                <w:rFonts w:ascii="Arial" w:hAnsi="Arial" w:cs="Arial"/>
                <w:b/>
              </w:rPr>
            </w:pPr>
          </w:p>
          <w:p w14:paraId="4C28750C" w14:textId="488D313C" w:rsidR="00540F17" w:rsidRPr="00C22A1C" w:rsidRDefault="00540F17" w:rsidP="00540F17">
            <w:pPr>
              <w:rPr>
                <w:rFonts w:ascii="Arial" w:hAnsi="Arial" w:cs="Arial"/>
                <w:b/>
              </w:rPr>
            </w:pPr>
            <w:r w:rsidRPr="00540F17">
              <w:rPr>
                <w:rFonts w:ascii="Arial" w:hAnsi="Arial" w:cs="Arial"/>
                <w:b/>
              </w:rPr>
              <w:t>..6 Sonstige öffentliche Sonderrechnungen</w:t>
            </w:r>
          </w:p>
          <w:p w14:paraId="471F1C1C" w14:textId="77777777" w:rsidR="00540F17" w:rsidRPr="00540F17" w:rsidRDefault="00540F17" w:rsidP="00540F17">
            <w:pPr>
              <w:rPr>
                <w:rFonts w:ascii="Arial" w:hAnsi="Arial" w:cs="Arial"/>
              </w:rPr>
            </w:pPr>
            <w:r w:rsidRPr="00540F17">
              <w:rPr>
                <w:rFonts w:ascii="Arial" w:hAnsi="Arial" w:cs="Arial"/>
              </w:rPr>
              <w:t xml:space="preserve">Zahlungsbeziehungen mit Einheiten an der die meldende Berichtsstelle </w:t>
            </w:r>
            <w:r w:rsidRPr="00540F17">
              <w:rPr>
                <w:rFonts w:ascii="Arial" w:hAnsi="Arial" w:cs="Arial"/>
                <w:b/>
                <w:u w:val="single"/>
              </w:rPr>
              <w:t>weniger als 50%</w:t>
            </w:r>
            <w:r w:rsidRPr="00540F17">
              <w:rPr>
                <w:rFonts w:ascii="Arial" w:hAnsi="Arial" w:cs="Arial"/>
              </w:rPr>
              <w:t xml:space="preserve"> der Anteile am </w:t>
            </w:r>
            <w:r w:rsidRPr="00540F17">
              <w:rPr>
                <w:rFonts w:ascii="Arial" w:hAnsi="Arial" w:cs="Arial"/>
                <w:i/>
              </w:rPr>
              <w:t xml:space="preserve">Nennkapital </w:t>
            </w:r>
            <w:r w:rsidRPr="00540F17">
              <w:rPr>
                <w:rFonts w:ascii="Arial" w:hAnsi="Arial" w:cs="Arial"/>
              </w:rPr>
              <w:t xml:space="preserve">besitzt, diese Einheit aber trotzdem mehrheitlich durch andere öffentliche Körperschaften (Bund, Länder, andere Gemeinden) mittelbar oder unmittelbar bestimmt ist. </w:t>
            </w:r>
          </w:p>
          <w:p w14:paraId="0F863458" w14:textId="77777777" w:rsidR="00540F17" w:rsidRPr="00540F17" w:rsidRDefault="00540F17" w:rsidP="00540F17">
            <w:pPr>
              <w:ind w:left="2160"/>
              <w:contextualSpacing/>
              <w:rPr>
                <w:rFonts w:ascii="Arial" w:hAnsi="Arial" w:cs="Arial"/>
              </w:rPr>
            </w:pPr>
          </w:p>
          <w:p w14:paraId="2A92C31A"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 xml:space="preserve">Öffentliche Zusatzversorgungskassen </w:t>
            </w:r>
          </w:p>
          <w:p w14:paraId="5B537996"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Kommunale Versorgungskassen und -verbände</w:t>
            </w:r>
          </w:p>
          <w:p w14:paraId="2C6C51BA"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 xml:space="preserve">Nassauische Heimstätte </w:t>
            </w:r>
          </w:p>
          <w:p w14:paraId="52880511"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Hessischer Städte und Gemeindebund (HSGB)</w:t>
            </w:r>
          </w:p>
          <w:p w14:paraId="4737355E"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 xml:space="preserve">Hessische Landgesellschaft (HLG) </w:t>
            </w:r>
          </w:p>
          <w:p w14:paraId="2C0728F9"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 xml:space="preserve">Bauland Offensive Hessen </w:t>
            </w:r>
          </w:p>
          <w:p w14:paraId="29BB996C"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Gemeindeversicherungsverband</w:t>
            </w:r>
          </w:p>
          <w:p w14:paraId="1CF98A38" w14:textId="77777777" w:rsidR="00540F17" w:rsidRPr="00540F17" w:rsidRDefault="00540F17" w:rsidP="00540F17">
            <w:pPr>
              <w:numPr>
                <w:ilvl w:val="0"/>
                <w:numId w:val="16"/>
              </w:numPr>
              <w:ind w:left="743"/>
              <w:contextualSpacing/>
              <w:rPr>
                <w:rFonts w:ascii="Arial" w:hAnsi="Arial" w:cs="Arial"/>
              </w:rPr>
            </w:pPr>
            <w:r w:rsidRPr="00540F17">
              <w:rPr>
                <w:rFonts w:ascii="Arial" w:hAnsi="Arial" w:cs="Arial"/>
              </w:rPr>
              <w:t xml:space="preserve">Häufig auch kommunale Verkehrsverbände </w:t>
            </w:r>
            <w:r w:rsidRPr="00540F17">
              <w:rPr>
                <w:rFonts w:ascii="Arial" w:hAnsi="Arial" w:cs="Arial"/>
                <w:b/>
              </w:rPr>
              <w:t>(nur bei Bereichsabgrenzung A)</w:t>
            </w:r>
          </w:p>
          <w:p w14:paraId="0A98DF73" w14:textId="77777777" w:rsidR="00400445" w:rsidRDefault="00540F17" w:rsidP="00540F17">
            <w:pPr>
              <w:numPr>
                <w:ilvl w:val="0"/>
                <w:numId w:val="16"/>
              </w:numPr>
              <w:ind w:left="743"/>
              <w:contextualSpacing/>
              <w:rPr>
                <w:rFonts w:ascii="Arial" w:hAnsi="Arial" w:cs="Arial"/>
              </w:rPr>
            </w:pPr>
            <w:r w:rsidRPr="00540F17">
              <w:rPr>
                <w:rFonts w:ascii="Arial" w:hAnsi="Arial" w:cs="Arial"/>
              </w:rPr>
              <w:t xml:space="preserve">Kommunale Versorgungskassen und –verbände </w:t>
            </w:r>
            <w:r w:rsidRPr="00540F17">
              <w:rPr>
                <w:rFonts w:ascii="Arial" w:hAnsi="Arial" w:cs="Arial"/>
                <w:b/>
              </w:rPr>
              <w:t>(nur bei Bereichsabgrenzung B)</w:t>
            </w:r>
          </w:p>
          <w:p w14:paraId="2E36243D" w14:textId="1353A2CA" w:rsidR="00540F17" w:rsidRPr="00400445" w:rsidRDefault="00540F17" w:rsidP="00540F17">
            <w:pPr>
              <w:numPr>
                <w:ilvl w:val="0"/>
                <w:numId w:val="16"/>
              </w:numPr>
              <w:ind w:left="743"/>
              <w:contextualSpacing/>
              <w:rPr>
                <w:rFonts w:ascii="Arial" w:hAnsi="Arial" w:cs="Arial"/>
              </w:rPr>
            </w:pPr>
            <w:r w:rsidRPr="00400445">
              <w:rPr>
                <w:rFonts w:ascii="Arial" w:hAnsi="Arial" w:cs="Arial"/>
              </w:rPr>
              <w:lastRenderedPageBreak/>
              <w:t>Hessische Investitionsfonds</w:t>
            </w:r>
            <w:r w:rsidRPr="00400445">
              <w:rPr>
                <w:rFonts w:ascii="Arial" w:hAnsi="Arial" w:cs="Arial"/>
                <w:b/>
              </w:rPr>
              <w:t xml:space="preserve"> (nur bei Bereichsabgrenzung B)</w:t>
            </w:r>
          </w:p>
          <w:p w14:paraId="6E19106C" w14:textId="77777777" w:rsidR="00540F17" w:rsidRPr="00540F17" w:rsidRDefault="00540F17" w:rsidP="00540F17">
            <w:pPr>
              <w:rPr>
                <w:rFonts w:ascii="Arial" w:hAnsi="Arial" w:cs="Arial"/>
                <w:b/>
              </w:rPr>
            </w:pPr>
          </w:p>
          <w:p w14:paraId="5297FE63" w14:textId="77777777" w:rsidR="00540F17" w:rsidRPr="00540F17" w:rsidRDefault="00540F17" w:rsidP="00540F17">
            <w:pPr>
              <w:rPr>
                <w:rFonts w:ascii="Arial" w:hAnsi="Arial" w:cs="Arial"/>
                <w:b/>
              </w:rPr>
            </w:pPr>
          </w:p>
        </w:tc>
      </w:tr>
      <w:tr w:rsidR="00540F17" w:rsidRPr="00540F17" w14:paraId="107513D5" w14:textId="77777777" w:rsidTr="00B1260C">
        <w:tc>
          <w:tcPr>
            <w:tcW w:w="4531" w:type="dxa"/>
          </w:tcPr>
          <w:p w14:paraId="237AE137" w14:textId="77777777" w:rsidR="00540F17" w:rsidRPr="00540F17" w:rsidRDefault="00540F17" w:rsidP="00540F17">
            <w:pPr>
              <w:jc w:val="center"/>
              <w:rPr>
                <w:rFonts w:ascii="Arial" w:hAnsi="Arial" w:cs="Arial"/>
                <w:b/>
              </w:rPr>
            </w:pPr>
          </w:p>
          <w:p w14:paraId="3C1EBFD7" w14:textId="77777777" w:rsidR="00540F17" w:rsidRPr="00540F17" w:rsidRDefault="00540F17" w:rsidP="00540F17">
            <w:pPr>
              <w:jc w:val="center"/>
              <w:rPr>
                <w:rFonts w:ascii="Arial" w:hAnsi="Arial" w:cs="Arial"/>
                <w:b/>
              </w:rPr>
            </w:pPr>
            <w:r w:rsidRPr="00540F17">
              <w:rPr>
                <w:rFonts w:ascii="Arial" w:hAnsi="Arial" w:cs="Arial"/>
                <w:b/>
              </w:rPr>
              <w:t>Bereichsabgrenzung A</w:t>
            </w:r>
          </w:p>
          <w:p w14:paraId="02B2722D" w14:textId="77777777" w:rsidR="00540F17" w:rsidRPr="00540F17" w:rsidRDefault="00540F17" w:rsidP="00540F17">
            <w:pPr>
              <w:jc w:val="center"/>
              <w:rPr>
                <w:rFonts w:ascii="Arial" w:hAnsi="Arial" w:cs="Arial"/>
                <w:b/>
              </w:rPr>
            </w:pPr>
          </w:p>
        </w:tc>
        <w:tc>
          <w:tcPr>
            <w:tcW w:w="4531" w:type="dxa"/>
          </w:tcPr>
          <w:p w14:paraId="12D2DE60" w14:textId="77777777" w:rsidR="00540F17" w:rsidRPr="00540F17" w:rsidRDefault="00540F17" w:rsidP="00540F17">
            <w:pPr>
              <w:jc w:val="center"/>
              <w:rPr>
                <w:rFonts w:ascii="Arial" w:hAnsi="Arial" w:cs="Arial"/>
                <w:b/>
              </w:rPr>
            </w:pPr>
          </w:p>
          <w:p w14:paraId="3EA9BAEE" w14:textId="77777777" w:rsidR="00540F17" w:rsidRPr="00540F17" w:rsidRDefault="00540F17" w:rsidP="00540F17">
            <w:pPr>
              <w:jc w:val="center"/>
              <w:rPr>
                <w:rFonts w:ascii="Arial" w:hAnsi="Arial" w:cs="Arial"/>
                <w:b/>
              </w:rPr>
            </w:pPr>
            <w:r w:rsidRPr="00540F17">
              <w:rPr>
                <w:rFonts w:ascii="Arial" w:hAnsi="Arial" w:cs="Arial"/>
                <w:b/>
              </w:rPr>
              <w:t>Bereichsabgrenzung B</w:t>
            </w:r>
          </w:p>
        </w:tc>
      </w:tr>
      <w:tr w:rsidR="00540F17" w:rsidRPr="00540F17" w14:paraId="22BDDDB7" w14:textId="77777777" w:rsidTr="00B1260C">
        <w:tc>
          <w:tcPr>
            <w:tcW w:w="4531" w:type="dxa"/>
          </w:tcPr>
          <w:p w14:paraId="76867DE9" w14:textId="77777777" w:rsidR="00540F17" w:rsidRPr="00540F17" w:rsidRDefault="00540F17" w:rsidP="00540F17">
            <w:pPr>
              <w:rPr>
                <w:rFonts w:ascii="Arial" w:hAnsi="Arial" w:cs="Arial"/>
                <w:b/>
              </w:rPr>
            </w:pPr>
          </w:p>
          <w:p w14:paraId="209941F1" w14:textId="77777777" w:rsidR="00540F17" w:rsidRPr="00540F17" w:rsidRDefault="00540F17" w:rsidP="00540F17">
            <w:pPr>
              <w:rPr>
                <w:rFonts w:ascii="Arial" w:hAnsi="Arial" w:cs="Arial"/>
                <w:b/>
              </w:rPr>
            </w:pPr>
            <w:r w:rsidRPr="00540F17">
              <w:rPr>
                <w:rFonts w:ascii="Arial" w:hAnsi="Arial" w:cs="Arial"/>
                <w:b/>
              </w:rPr>
              <w:t>7 Private Unternehmen, die nicht öffentlich-rechtlich sind</w:t>
            </w:r>
          </w:p>
          <w:p w14:paraId="32837C6A" w14:textId="77777777" w:rsidR="00540F17" w:rsidRPr="00540F17" w:rsidRDefault="00540F17" w:rsidP="00540F17">
            <w:pPr>
              <w:rPr>
                <w:rFonts w:ascii="Arial" w:hAnsi="Arial" w:cs="Arial"/>
                <w:b/>
              </w:rPr>
            </w:pPr>
          </w:p>
          <w:p w14:paraId="7948BB62" w14:textId="77777777" w:rsidR="00540F17" w:rsidRPr="00540F17" w:rsidRDefault="00540F17" w:rsidP="00540F17">
            <w:pPr>
              <w:numPr>
                <w:ilvl w:val="0"/>
                <w:numId w:val="16"/>
              </w:numPr>
              <w:spacing w:line="240" w:lineRule="auto"/>
              <w:ind w:left="786"/>
              <w:contextualSpacing/>
              <w:rPr>
                <w:rFonts w:ascii="Arial" w:hAnsi="Arial" w:cs="Arial"/>
              </w:rPr>
            </w:pPr>
            <w:r w:rsidRPr="00540F17">
              <w:rPr>
                <w:rFonts w:ascii="Arial" w:hAnsi="Arial" w:cs="Arial"/>
              </w:rPr>
              <w:t>Kapitalgesellschaften (AG, GmbH)</w:t>
            </w:r>
          </w:p>
          <w:p w14:paraId="76498660" w14:textId="77777777" w:rsidR="00540F17" w:rsidRPr="00540F17" w:rsidRDefault="00540F17" w:rsidP="00540F17">
            <w:pPr>
              <w:numPr>
                <w:ilvl w:val="0"/>
                <w:numId w:val="16"/>
              </w:numPr>
              <w:spacing w:line="240" w:lineRule="auto"/>
              <w:ind w:left="786"/>
              <w:contextualSpacing/>
              <w:rPr>
                <w:rFonts w:ascii="Arial" w:hAnsi="Arial" w:cs="Arial"/>
                <w:b/>
              </w:rPr>
            </w:pPr>
            <w:r w:rsidRPr="00540F17">
              <w:rPr>
                <w:rFonts w:ascii="Arial" w:hAnsi="Arial" w:cs="Arial"/>
              </w:rPr>
              <w:t>Personengesellschaften (OHG, KG, BGB-Gesellschaften)</w:t>
            </w:r>
          </w:p>
        </w:tc>
        <w:tc>
          <w:tcPr>
            <w:tcW w:w="4531" w:type="dxa"/>
          </w:tcPr>
          <w:p w14:paraId="7DB500BD" w14:textId="77777777" w:rsidR="00540F17" w:rsidRPr="00540F17" w:rsidRDefault="00540F17" w:rsidP="00540F17">
            <w:pPr>
              <w:rPr>
                <w:rFonts w:ascii="Arial" w:hAnsi="Arial" w:cs="Arial"/>
                <w:b/>
              </w:rPr>
            </w:pPr>
          </w:p>
          <w:p w14:paraId="23EA5A35" w14:textId="77777777" w:rsidR="00540F17" w:rsidRPr="00540F17" w:rsidRDefault="00540F17" w:rsidP="00540F17">
            <w:pPr>
              <w:rPr>
                <w:rFonts w:ascii="Arial" w:hAnsi="Arial" w:cs="Arial"/>
                <w:b/>
              </w:rPr>
            </w:pPr>
            <w:r w:rsidRPr="00540F17">
              <w:rPr>
                <w:rFonts w:ascii="Arial" w:hAnsi="Arial" w:cs="Arial"/>
                <w:b/>
              </w:rPr>
              <w:t>7 Kreditinstitute</w:t>
            </w:r>
          </w:p>
          <w:p w14:paraId="70936D5B" w14:textId="77777777" w:rsidR="00540F17" w:rsidRPr="00540F17" w:rsidRDefault="00540F17" w:rsidP="00540F17">
            <w:pPr>
              <w:rPr>
                <w:rFonts w:ascii="Arial" w:hAnsi="Arial" w:cs="Arial"/>
                <w:b/>
              </w:rPr>
            </w:pPr>
          </w:p>
          <w:p w14:paraId="62D72E8C" w14:textId="77777777" w:rsidR="00540F17" w:rsidRPr="00540F17" w:rsidRDefault="00540F17" w:rsidP="00540F17">
            <w:pPr>
              <w:rPr>
                <w:rFonts w:ascii="Arial" w:hAnsi="Arial" w:cs="Arial"/>
              </w:rPr>
            </w:pPr>
            <w:r w:rsidRPr="00540F17">
              <w:rPr>
                <w:rFonts w:ascii="Arial" w:hAnsi="Arial" w:cs="Arial"/>
              </w:rPr>
              <w:t xml:space="preserve">Zu den Kreditinstituten zählen alle Institutionen, welche finanzielle Mittlertätigkeiten ausüben und deren Geschäftstätigkeit in der Einlagenaufnahme, Kreditvergabe und Wertpapierinvestition liegt. Eine Übersicht kann im </w:t>
            </w:r>
            <w:hyperlink r:id="rId13" w:history="1">
              <w:r w:rsidRPr="00540F17">
                <w:rPr>
                  <w:rFonts w:ascii="Arial" w:hAnsi="Arial" w:cs="Arial"/>
                  <w:color w:val="0563C1" w:themeColor="hyperlink"/>
                  <w:u w:val="single"/>
                </w:rPr>
                <w:t>Verzeichnis der Kreditinstitute der Deutschen Bundesbank</w:t>
              </w:r>
            </w:hyperlink>
            <w:r w:rsidRPr="00540F17">
              <w:rPr>
                <w:rFonts w:ascii="Arial" w:hAnsi="Arial" w:cs="Arial"/>
              </w:rPr>
              <w:t xml:space="preserve"> eingesehen werden.</w:t>
            </w:r>
          </w:p>
          <w:p w14:paraId="74219FAD" w14:textId="77777777" w:rsidR="00540F17" w:rsidRPr="00540F17" w:rsidRDefault="00540F17" w:rsidP="00540F17">
            <w:pPr>
              <w:rPr>
                <w:rFonts w:ascii="Arial" w:hAnsi="Arial" w:cs="Arial"/>
              </w:rPr>
            </w:pPr>
          </w:p>
          <w:p w14:paraId="48F7A27D"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Sparkassen</w:t>
            </w:r>
          </w:p>
          <w:p w14:paraId="5F216BF3"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WI-Bank</w:t>
            </w:r>
          </w:p>
          <w:p w14:paraId="4994F42B" w14:textId="23D8A58A" w:rsidR="002765B3" w:rsidRPr="00F16479" w:rsidRDefault="00540F17" w:rsidP="002765B3">
            <w:pPr>
              <w:numPr>
                <w:ilvl w:val="0"/>
                <w:numId w:val="16"/>
              </w:numPr>
              <w:spacing w:line="240" w:lineRule="auto"/>
              <w:ind w:left="743" w:hanging="425"/>
              <w:contextualSpacing/>
              <w:rPr>
                <w:rFonts w:ascii="Arial" w:hAnsi="Arial" w:cs="Arial"/>
              </w:rPr>
            </w:pPr>
            <w:r w:rsidRPr="00540F17">
              <w:rPr>
                <w:rFonts w:ascii="Arial" w:hAnsi="Arial" w:cs="Arial"/>
              </w:rPr>
              <w:t>KfW</w:t>
            </w:r>
            <w:r w:rsidR="00F16479">
              <w:rPr>
                <w:rFonts w:ascii="Arial" w:hAnsi="Arial" w:cs="Arial"/>
              </w:rPr>
              <w:t xml:space="preserve"> </w:t>
            </w:r>
            <w:r w:rsidRPr="00F16479">
              <w:rPr>
                <w:rFonts w:ascii="Arial" w:hAnsi="Arial" w:cs="Arial"/>
              </w:rPr>
              <w:t>Geschäftsbanken (Volksbank etc.)</w:t>
            </w:r>
          </w:p>
          <w:p w14:paraId="30CB03C4" w14:textId="09A7EAAF" w:rsidR="002765B3" w:rsidRPr="002765B3" w:rsidRDefault="002765B3" w:rsidP="002765B3">
            <w:pPr>
              <w:numPr>
                <w:ilvl w:val="0"/>
                <w:numId w:val="16"/>
              </w:numPr>
              <w:spacing w:line="240" w:lineRule="auto"/>
              <w:ind w:left="743" w:hanging="425"/>
              <w:contextualSpacing/>
              <w:rPr>
                <w:rFonts w:ascii="Arial" w:hAnsi="Arial" w:cs="Arial"/>
              </w:rPr>
            </w:pPr>
            <w:r w:rsidRPr="002765B3">
              <w:rPr>
                <w:rFonts w:ascii="Arial" w:hAnsi="Arial" w:cs="Arial"/>
              </w:rPr>
              <w:t>Hessischer Investitionsfond C</w:t>
            </w:r>
          </w:p>
          <w:p w14:paraId="480789F0" w14:textId="77777777" w:rsidR="00265A17" w:rsidRDefault="00265A17" w:rsidP="00540F17">
            <w:pPr>
              <w:rPr>
                <w:rFonts w:ascii="Arial" w:hAnsi="Arial" w:cs="Arial"/>
                <w:b/>
              </w:rPr>
            </w:pPr>
          </w:p>
          <w:p w14:paraId="46C28C4D" w14:textId="77777777" w:rsidR="00265A17" w:rsidRDefault="00265A17" w:rsidP="00540F17">
            <w:pPr>
              <w:rPr>
                <w:rFonts w:ascii="Arial" w:hAnsi="Arial" w:cs="Arial"/>
                <w:b/>
              </w:rPr>
            </w:pPr>
          </w:p>
          <w:p w14:paraId="511BDD28" w14:textId="77777777" w:rsidR="00265A17" w:rsidRDefault="00265A17" w:rsidP="00540F17">
            <w:pPr>
              <w:rPr>
                <w:rFonts w:ascii="Arial" w:hAnsi="Arial" w:cs="Arial"/>
                <w:b/>
              </w:rPr>
            </w:pPr>
          </w:p>
          <w:p w14:paraId="46FD5805" w14:textId="17BED8B1" w:rsidR="00265A17" w:rsidRDefault="00265A17" w:rsidP="00540F17">
            <w:pPr>
              <w:rPr>
                <w:rFonts w:ascii="Arial" w:hAnsi="Arial" w:cs="Arial"/>
                <w:b/>
              </w:rPr>
            </w:pPr>
          </w:p>
          <w:p w14:paraId="0F8BC7CF" w14:textId="77777777" w:rsidR="00C22A1C" w:rsidRDefault="00C22A1C" w:rsidP="00540F17">
            <w:pPr>
              <w:rPr>
                <w:rFonts w:ascii="Arial" w:hAnsi="Arial" w:cs="Arial"/>
                <w:b/>
              </w:rPr>
            </w:pPr>
          </w:p>
          <w:p w14:paraId="413A8FF0" w14:textId="77777777" w:rsidR="00F16479" w:rsidRDefault="00F16479" w:rsidP="00540F17">
            <w:pPr>
              <w:rPr>
                <w:rFonts w:ascii="Arial" w:hAnsi="Arial" w:cs="Arial"/>
                <w:b/>
              </w:rPr>
            </w:pPr>
          </w:p>
          <w:p w14:paraId="71609EED" w14:textId="033297FC" w:rsidR="00265A17" w:rsidRPr="00540F17" w:rsidRDefault="00265A17" w:rsidP="00540F17">
            <w:pPr>
              <w:rPr>
                <w:rFonts w:ascii="Arial" w:hAnsi="Arial" w:cs="Arial"/>
                <w:b/>
              </w:rPr>
            </w:pPr>
          </w:p>
        </w:tc>
      </w:tr>
      <w:tr w:rsidR="00540F17" w:rsidRPr="00540F17" w14:paraId="42B98355" w14:textId="77777777" w:rsidTr="00B1260C">
        <w:tc>
          <w:tcPr>
            <w:tcW w:w="4531" w:type="dxa"/>
          </w:tcPr>
          <w:p w14:paraId="68EF8A5F" w14:textId="77777777" w:rsidR="00540F17" w:rsidRPr="00540F17" w:rsidRDefault="00540F17" w:rsidP="00540F17">
            <w:pPr>
              <w:rPr>
                <w:rFonts w:ascii="Arial" w:hAnsi="Arial" w:cs="Arial"/>
                <w:b/>
              </w:rPr>
            </w:pPr>
          </w:p>
          <w:p w14:paraId="30C25179" w14:textId="2D14F5ED" w:rsidR="00540F17" w:rsidRPr="00540F17" w:rsidRDefault="00540F17" w:rsidP="00C22A1C">
            <w:pPr>
              <w:ind w:left="318" w:hanging="284"/>
              <w:rPr>
                <w:rFonts w:ascii="Arial" w:hAnsi="Arial" w:cs="Arial"/>
                <w:b/>
              </w:rPr>
            </w:pPr>
            <w:r w:rsidRPr="00540F17">
              <w:rPr>
                <w:rFonts w:ascii="Arial" w:hAnsi="Arial" w:cs="Arial"/>
                <w:b/>
              </w:rPr>
              <w:t xml:space="preserve">8 Übrige Bereiche </w:t>
            </w:r>
          </w:p>
          <w:p w14:paraId="29BC6AD2"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Kirchen </w:t>
            </w:r>
          </w:p>
          <w:p w14:paraId="3C5AC84A"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Arbeitgeber- und Wirtschaftsverbände </w:t>
            </w:r>
          </w:p>
          <w:p w14:paraId="01C29C19"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Gewerkschaften </w:t>
            </w:r>
          </w:p>
          <w:p w14:paraId="21EB1D10"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Stiftungen</w:t>
            </w:r>
          </w:p>
          <w:p w14:paraId="53C6A836"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Vereine </w:t>
            </w:r>
          </w:p>
          <w:p w14:paraId="072FEF58"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Organisationen der freien Wohlfahrtpflege (z. B. ASB, AWO)</w:t>
            </w:r>
          </w:p>
          <w:p w14:paraId="54FDC0A2"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Kassenärztliche Vereinigung </w:t>
            </w:r>
          </w:p>
          <w:p w14:paraId="25D3F380"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Verband der Ersatzkassen </w:t>
            </w:r>
          </w:p>
          <w:p w14:paraId="4F313783"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 xml:space="preserve">Politische Parteien </w:t>
            </w:r>
          </w:p>
          <w:p w14:paraId="2E2B7768"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Internationale Organisationen z.B. europäischer Sozialfonds (ESF)</w:t>
            </w:r>
          </w:p>
          <w:p w14:paraId="549089F3"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Privatpersonen</w:t>
            </w:r>
          </w:p>
          <w:p w14:paraId="48091FD2" w14:textId="77777777" w:rsidR="00540F17" w:rsidRPr="00540F17" w:rsidRDefault="00540F17" w:rsidP="00540F17">
            <w:pPr>
              <w:spacing w:line="240" w:lineRule="auto"/>
              <w:rPr>
                <w:rFonts w:ascii="Arial" w:hAnsi="Arial" w:cs="Arial"/>
                <w:b/>
              </w:rPr>
            </w:pPr>
            <w:r w:rsidRPr="00540F17">
              <w:rPr>
                <w:rFonts w:ascii="Arial" w:hAnsi="Arial" w:cs="Arial"/>
              </w:rPr>
              <w:t>Gesellschaften, die nicht gewinnorientiert sind (gGmbH)</w:t>
            </w:r>
          </w:p>
        </w:tc>
        <w:tc>
          <w:tcPr>
            <w:tcW w:w="4531" w:type="dxa"/>
          </w:tcPr>
          <w:p w14:paraId="21168E63" w14:textId="77777777" w:rsidR="00540F17" w:rsidRPr="00540F17" w:rsidRDefault="00540F17" w:rsidP="00540F17">
            <w:pPr>
              <w:rPr>
                <w:rFonts w:ascii="Arial" w:hAnsi="Arial" w:cs="Arial"/>
                <w:b/>
              </w:rPr>
            </w:pPr>
          </w:p>
          <w:p w14:paraId="2086C6A0" w14:textId="314BC08D" w:rsidR="00540F17" w:rsidRPr="00C22A1C" w:rsidRDefault="00540F17" w:rsidP="00540F17">
            <w:pPr>
              <w:rPr>
                <w:rFonts w:ascii="Arial" w:hAnsi="Arial" w:cs="Arial"/>
                <w:b/>
              </w:rPr>
            </w:pPr>
            <w:r w:rsidRPr="00540F17">
              <w:rPr>
                <w:rFonts w:ascii="Arial" w:hAnsi="Arial" w:cs="Arial"/>
                <w:b/>
              </w:rPr>
              <w:t xml:space="preserve">8 sonstiger inländischer Bereich </w:t>
            </w:r>
          </w:p>
          <w:p w14:paraId="6D7EBB11" w14:textId="77777777" w:rsidR="00540F17" w:rsidRPr="00540F17" w:rsidRDefault="00540F17" w:rsidP="00540F17">
            <w:pPr>
              <w:rPr>
                <w:rFonts w:ascii="Arial" w:hAnsi="Arial" w:cs="Arial"/>
              </w:rPr>
            </w:pPr>
            <w:r w:rsidRPr="00540F17">
              <w:rPr>
                <w:rFonts w:ascii="Arial" w:hAnsi="Arial" w:cs="Arial"/>
              </w:rPr>
              <w:t xml:space="preserve">Alle inländischen Unternehmen, die nicht den Bereichsabgrenzungen 5 bis 7 zugeordnet werden können. </w:t>
            </w:r>
          </w:p>
          <w:p w14:paraId="31DB7E4D" w14:textId="77777777" w:rsidR="00540F17" w:rsidRPr="00540F17" w:rsidRDefault="00540F17" w:rsidP="00540F17">
            <w:pPr>
              <w:rPr>
                <w:rFonts w:ascii="Arial" w:hAnsi="Arial" w:cs="Arial"/>
              </w:rPr>
            </w:pPr>
          </w:p>
          <w:p w14:paraId="4C892504"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Kapitalgesellschaften (AG, GmbH und andere)</w:t>
            </w:r>
          </w:p>
          <w:p w14:paraId="445DEA83"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Personengesellschaften (OHG, KG und andere)</w:t>
            </w:r>
          </w:p>
          <w:p w14:paraId="61FA782F"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Vereine und Stiftungen</w:t>
            </w:r>
          </w:p>
          <w:p w14:paraId="60E17FAF"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Kirchen</w:t>
            </w:r>
          </w:p>
          <w:p w14:paraId="45EC49E5"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Wirtschaftsverbände</w:t>
            </w:r>
          </w:p>
          <w:p w14:paraId="14DBB08F"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Gewerkschaften</w:t>
            </w:r>
          </w:p>
          <w:p w14:paraId="4B1113AC" w14:textId="77777777" w:rsidR="00540F17" w:rsidRPr="00540F17"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Politische Parteien</w:t>
            </w:r>
          </w:p>
          <w:p w14:paraId="36553BE0" w14:textId="77777777" w:rsidR="00F16479" w:rsidRDefault="00540F17" w:rsidP="00540F17">
            <w:pPr>
              <w:numPr>
                <w:ilvl w:val="0"/>
                <w:numId w:val="16"/>
              </w:numPr>
              <w:spacing w:line="240" w:lineRule="auto"/>
              <w:ind w:left="743" w:hanging="425"/>
              <w:contextualSpacing/>
              <w:rPr>
                <w:rFonts w:ascii="Arial" w:hAnsi="Arial" w:cs="Arial"/>
              </w:rPr>
            </w:pPr>
            <w:r w:rsidRPr="00540F17">
              <w:rPr>
                <w:rFonts w:ascii="Arial" w:hAnsi="Arial" w:cs="Arial"/>
              </w:rPr>
              <w:t>Organisationen der freien Wohlfahrtpflege (z. B. ASB, AWO)</w:t>
            </w:r>
          </w:p>
          <w:p w14:paraId="6DAC1D2C" w14:textId="1BBCD572" w:rsidR="00540F17" w:rsidRPr="00F16479" w:rsidRDefault="00540F17" w:rsidP="00540F17">
            <w:pPr>
              <w:numPr>
                <w:ilvl w:val="0"/>
                <w:numId w:val="16"/>
              </w:numPr>
              <w:spacing w:line="240" w:lineRule="auto"/>
              <w:ind w:left="743" w:hanging="425"/>
              <w:contextualSpacing/>
              <w:rPr>
                <w:rFonts w:ascii="Arial" w:hAnsi="Arial" w:cs="Arial"/>
              </w:rPr>
            </w:pPr>
            <w:r w:rsidRPr="00F16479">
              <w:rPr>
                <w:rFonts w:ascii="Arial" w:hAnsi="Arial" w:cs="Arial"/>
              </w:rPr>
              <w:t>Privatpersonen</w:t>
            </w:r>
          </w:p>
          <w:p w14:paraId="0B1BC0A0" w14:textId="4AE88DDE" w:rsidR="00540F17" w:rsidRPr="00540F17" w:rsidRDefault="00540F17" w:rsidP="00540F17">
            <w:pPr>
              <w:rPr>
                <w:rFonts w:ascii="Arial" w:hAnsi="Arial" w:cs="Arial"/>
                <w:b/>
              </w:rPr>
            </w:pPr>
          </w:p>
        </w:tc>
      </w:tr>
      <w:tr w:rsidR="00540F17" w:rsidRPr="00540F17" w14:paraId="1E903E31" w14:textId="77777777" w:rsidTr="00B1260C">
        <w:tc>
          <w:tcPr>
            <w:tcW w:w="4531" w:type="dxa"/>
          </w:tcPr>
          <w:p w14:paraId="61F0191C" w14:textId="77777777" w:rsidR="00540F17" w:rsidRPr="00540F17" w:rsidRDefault="00540F17" w:rsidP="00540F17">
            <w:pPr>
              <w:ind w:left="318" w:hanging="284"/>
              <w:rPr>
                <w:rFonts w:ascii="Arial" w:hAnsi="Arial" w:cs="Arial"/>
                <w:b/>
              </w:rPr>
            </w:pPr>
          </w:p>
        </w:tc>
        <w:tc>
          <w:tcPr>
            <w:tcW w:w="4531" w:type="dxa"/>
          </w:tcPr>
          <w:p w14:paraId="53004114" w14:textId="77777777" w:rsidR="00540F17" w:rsidRPr="00540F17" w:rsidRDefault="00540F17" w:rsidP="00540F17">
            <w:pPr>
              <w:rPr>
                <w:rFonts w:ascii="Arial" w:hAnsi="Arial" w:cs="Arial"/>
                <w:b/>
              </w:rPr>
            </w:pPr>
          </w:p>
          <w:p w14:paraId="2743B86F" w14:textId="07C3DAD9" w:rsidR="00540F17" w:rsidRPr="00540F17" w:rsidRDefault="00540F17" w:rsidP="00540F17">
            <w:pPr>
              <w:rPr>
                <w:rFonts w:ascii="Arial" w:hAnsi="Arial" w:cs="Arial"/>
                <w:b/>
              </w:rPr>
            </w:pPr>
            <w:r w:rsidRPr="00540F17">
              <w:rPr>
                <w:rFonts w:ascii="Arial" w:hAnsi="Arial" w:cs="Arial"/>
                <w:b/>
              </w:rPr>
              <w:t xml:space="preserve">9 sonstiger ausländischer Bereich </w:t>
            </w:r>
            <w:r w:rsidRPr="00540F17">
              <w:rPr>
                <w:rFonts w:ascii="Arial" w:hAnsi="Arial" w:cs="Arial"/>
                <w:b/>
                <w:i/>
              </w:rPr>
              <w:t>(nur bei Bereichsabgrenzung B)</w:t>
            </w:r>
          </w:p>
          <w:p w14:paraId="6C074F71" w14:textId="77777777" w:rsidR="00540F17" w:rsidRPr="00540F17" w:rsidRDefault="00540F17" w:rsidP="00540F17">
            <w:pPr>
              <w:rPr>
                <w:rFonts w:ascii="Arial" w:hAnsi="Arial" w:cs="Arial"/>
              </w:rPr>
            </w:pPr>
            <w:r w:rsidRPr="00540F17">
              <w:rPr>
                <w:rFonts w:ascii="Arial" w:hAnsi="Arial" w:cs="Arial"/>
              </w:rPr>
              <w:t xml:space="preserve">Alle ausländischen Unternehmen und Institutionen, die nicht der Bereichsabgrenzung 7 zugeordnet werden können. </w:t>
            </w:r>
          </w:p>
          <w:p w14:paraId="6F7F8913" w14:textId="77777777" w:rsidR="00540F17" w:rsidRPr="00540F17" w:rsidRDefault="00540F17" w:rsidP="00540F17">
            <w:pPr>
              <w:rPr>
                <w:rFonts w:ascii="Arial" w:hAnsi="Arial" w:cs="Arial"/>
                <w:b/>
              </w:rPr>
            </w:pPr>
          </w:p>
          <w:p w14:paraId="0ABA94D1" w14:textId="77777777" w:rsidR="00540F17" w:rsidRPr="00540F17" w:rsidRDefault="00540F17" w:rsidP="00540F17">
            <w:pPr>
              <w:numPr>
                <w:ilvl w:val="0"/>
                <w:numId w:val="18"/>
              </w:numPr>
              <w:spacing w:line="240" w:lineRule="auto"/>
              <w:contextualSpacing/>
              <w:rPr>
                <w:rFonts w:ascii="Arial" w:hAnsi="Arial" w:cs="Arial"/>
              </w:rPr>
            </w:pPr>
            <w:r w:rsidRPr="00540F17">
              <w:rPr>
                <w:rFonts w:ascii="Arial" w:hAnsi="Arial" w:cs="Arial"/>
              </w:rPr>
              <w:t>Ausländische Unternehmen</w:t>
            </w:r>
          </w:p>
          <w:p w14:paraId="32EBD398" w14:textId="77777777" w:rsidR="00540F17" w:rsidRPr="00540F17" w:rsidRDefault="00540F17" w:rsidP="00540F17">
            <w:pPr>
              <w:numPr>
                <w:ilvl w:val="0"/>
                <w:numId w:val="18"/>
              </w:numPr>
              <w:spacing w:line="240" w:lineRule="auto"/>
              <w:contextualSpacing/>
              <w:rPr>
                <w:rFonts w:ascii="Arial" w:hAnsi="Arial" w:cs="Arial"/>
              </w:rPr>
            </w:pPr>
            <w:r w:rsidRPr="00540F17">
              <w:rPr>
                <w:rFonts w:ascii="Arial" w:hAnsi="Arial" w:cs="Arial"/>
              </w:rPr>
              <w:t>Gemeinden der EU</w:t>
            </w:r>
          </w:p>
          <w:p w14:paraId="1C213481" w14:textId="77777777" w:rsidR="00540F17" w:rsidRPr="00540F17" w:rsidRDefault="00540F17" w:rsidP="00540F17">
            <w:pPr>
              <w:numPr>
                <w:ilvl w:val="0"/>
                <w:numId w:val="18"/>
              </w:numPr>
              <w:spacing w:line="240" w:lineRule="auto"/>
              <w:contextualSpacing/>
              <w:rPr>
                <w:rFonts w:ascii="Arial" w:hAnsi="Arial" w:cs="Arial"/>
              </w:rPr>
            </w:pPr>
            <w:r w:rsidRPr="00540F17">
              <w:rPr>
                <w:rFonts w:ascii="Arial" w:hAnsi="Arial" w:cs="Arial"/>
              </w:rPr>
              <w:t>Einrichtungen der europäischen Union</w:t>
            </w:r>
          </w:p>
          <w:p w14:paraId="2F4918D2" w14:textId="77777777" w:rsidR="00540F17" w:rsidRDefault="00540F17" w:rsidP="00540F17">
            <w:pPr>
              <w:rPr>
                <w:rFonts w:ascii="Arial" w:hAnsi="Arial" w:cs="Arial"/>
              </w:rPr>
            </w:pPr>
            <w:r w:rsidRPr="00540F17">
              <w:rPr>
                <w:rFonts w:ascii="Arial" w:hAnsi="Arial" w:cs="Arial"/>
              </w:rPr>
              <w:t>Internationale Organisationen</w:t>
            </w:r>
          </w:p>
          <w:p w14:paraId="40E7FAE0" w14:textId="408451F6" w:rsidR="00F16479" w:rsidRPr="00540F17" w:rsidRDefault="00F16479" w:rsidP="00540F17">
            <w:pPr>
              <w:rPr>
                <w:rFonts w:ascii="Arial" w:hAnsi="Arial" w:cs="Arial"/>
                <w:b/>
              </w:rPr>
            </w:pPr>
          </w:p>
        </w:tc>
      </w:tr>
    </w:tbl>
    <w:p w14:paraId="1EAE96F9" w14:textId="77777777" w:rsidR="00540F17" w:rsidRPr="00540F17" w:rsidRDefault="00540F17" w:rsidP="00540F17"/>
    <w:p w14:paraId="4607098B" w14:textId="2AE298A3" w:rsidR="002312B3" w:rsidRPr="00540F17" w:rsidRDefault="00540F17" w:rsidP="00540F17">
      <w:pPr>
        <w:spacing w:after="160" w:line="259" w:lineRule="auto"/>
        <w:rPr>
          <w:rFonts w:ascii="Arial" w:hAnsi="Arial" w:cs="Arial"/>
          <w:sz w:val="24"/>
          <w:szCs w:val="24"/>
        </w:rPr>
      </w:pPr>
      <w:r w:rsidRPr="00540F17">
        <w:br w:type="page"/>
      </w:r>
    </w:p>
    <w:p w14:paraId="5AFCC045" w14:textId="50C238BA" w:rsidR="00FD390B" w:rsidRPr="00A0631B" w:rsidRDefault="00FD390B" w:rsidP="00A0631B">
      <w:pPr>
        <w:pStyle w:val="berschrift1"/>
        <w:spacing w:before="0" w:line="240" w:lineRule="atLeast"/>
        <w:jc w:val="center"/>
        <w:rPr>
          <w:rFonts w:ascii="Arial" w:hAnsi="Arial" w:cs="Arial"/>
          <w:b/>
          <w:color w:val="0A3776"/>
          <w:szCs w:val="26"/>
        </w:rPr>
      </w:pPr>
      <w:bookmarkStart w:id="11" w:name="_Toc163114789"/>
      <w:r w:rsidRPr="00A0631B">
        <w:rPr>
          <w:rFonts w:ascii="Arial" w:hAnsi="Arial" w:cs="Arial"/>
          <w:b/>
          <w:color w:val="0A3776"/>
          <w:szCs w:val="26"/>
        </w:rPr>
        <w:lastRenderedPageBreak/>
        <w:t>3 Datenübermittlung</w:t>
      </w:r>
      <w:bookmarkEnd w:id="11"/>
    </w:p>
    <w:p w14:paraId="7841066F" w14:textId="77777777" w:rsidR="00265A17" w:rsidRPr="00265A17" w:rsidRDefault="00265A17" w:rsidP="00265A17">
      <w:pPr>
        <w:keepNext/>
        <w:keepLines/>
        <w:spacing w:after="120" w:line="240" w:lineRule="atLeast"/>
        <w:jc w:val="both"/>
        <w:outlineLvl w:val="1"/>
        <w:rPr>
          <w:rFonts w:ascii="Arial" w:eastAsiaTheme="majorEastAsia" w:hAnsi="Arial" w:cs="Arial"/>
          <w:b/>
          <w:bCs/>
          <w:color w:val="0A3776"/>
          <w:sz w:val="24"/>
          <w:u w:val="single"/>
        </w:rPr>
      </w:pPr>
      <w:bookmarkStart w:id="12" w:name="_Toc97293280"/>
      <w:bookmarkStart w:id="13" w:name="_Toc129756741"/>
      <w:bookmarkStart w:id="14" w:name="_Toc163112835"/>
      <w:bookmarkStart w:id="15" w:name="_Toc163114790"/>
      <w:r w:rsidRPr="00265A17">
        <w:rPr>
          <w:rFonts w:ascii="Arial" w:eastAsiaTheme="majorEastAsia" w:hAnsi="Arial" w:cs="Arial"/>
          <w:b/>
          <w:bCs/>
          <w:color w:val="0A3776"/>
          <w:sz w:val="24"/>
          <w:u w:val="single"/>
        </w:rPr>
        <w:t>3.1 Über eStatistik.core</w:t>
      </w:r>
      <w:bookmarkEnd w:id="12"/>
      <w:bookmarkEnd w:id="13"/>
      <w:bookmarkEnd w:id="14"/>
      <w:bookmarkEnd w:id="15"/>
    </w:p>
    <w:p w14:paraId="71A0D1F3" w14:textId="77777777" w:rsidR="00265A17" w:rsidRPr="00265A17" w:rsidRDefault="00265A17" w:rsidP="00265A17">
      <w:pPr>
        <w:spacing w:line="240" w:lineRule="atLeast"/>
        <w:jc w:val="both"/>
        <w:rPr>
          <w:rFonts w:ascii="Arial" w:hAnsi="Arial" w:cs="Arial"/>
        </w:rPr>
      </w:pPr>
      <w:r w:rsidRPr="00265A17">
        <w:rPr>
          <w:rFonts w:ascii="Arial" w:hAnsi="Arial" w:cs="Arial"/>
        </w:rPr>
        <w:t>Für Meldungen per Upload ist seit dem 1. Quartal 2022 nur noch das eStatistik.core-Verfahren zu nutzen. Ausführliche Informationen finden Sie unter:</w:t>
      </w:r>
    </w:p>
    <w:p w14:paraId="41A33A68" w14:textId="77777777" w:rsidR="00265A17" w:rsidRPr="00265A17" w:rsidRDefault="00265A17" w:rsidP="00265A17">
      <w:pPr>
        <w:spacing w:line="240" w:lineRule="atLeast"/>
        <w:jc w:val="both"/>
        <w:rPr>
          <w:rFonts w:ascii="Arial" w:hAnsi="Arial" w:cs="Arial"/>
        </w:rPr>
      </w:pPr>
    </w:p>
    <w:p w14:paraId="2E048D9C" w14:textId="77777777" w:rsidR="00265A17" w:rsidRPr="00265A17" w:rsidRDefault="00783722" w:rsidP="00265A17">
      <w:pPr>
        <w:spacing w:line="240" w:lineRule="atLeast"/>
        <w:jc w:val="both"/>
        <w:rPr>
          <w:rFonts w:ascii="Arial" w:hAnsi="Arial" w:cs="Arial"/>
          <w:color w:val="0563C1" w:themeColor="hyperlink"/>
          <w:u w:val="single"/>
        </w:rPr>
      </w:pPr>
      <w:hyperlink r:id="rId14" w:anchor="ObQLADe7tI/melden-ueber-core" w:history="1">
        <w:r w:rsidR="00265A17" w:rsidRPr="00265A17">
          <w:rPr>
            <w:rFonts w:ascii="Arial" w:hAnsi="Arial" w:cs="Arial"/>
            <w:color w:val="0563C1" w:themeColor="hyperlink"/>
            <w:u w:val="single"/>
          </w:rPr>
          <w:t>https://erhebungsportal.estatistik.de/Erhebungsportal/#ObQLADe7tI/melden-ueber-core</w:t>
        </w:r>
      </w:hyperlink>
    </w:p>
    <w:p w14:paraId="7FB96DBD" w14:textId="77777777" w:rsidR="00265A17" w:rsidRPr="00265A17" w:rsidRDefault="00265A17" w:rsidP="00265A17">
      <w:pPr>
        <w:spacing w:line="240" w:lineRule="atLeast"/>
        <w:rPr>
          <w:rFonts w:ascii="Arial" w:hAnsi="Arial" w:cs="Arial"/>
        </w:rPr>
      </w:pPr>
    </w:p>
    <w:p w14:paraId="07B3E439" w14:textId="77777777" w:rsidR="00265A17" w:rsidRPr="00265A17" w:rsidRDefault="00265A17" w:rsidP="00265A17">
      <w:pPr>
        <w:spacing w:line="240" w:lineRule="atLeast"/>
        <w:rPr>
          <w:rFonts w:ascii="Arial" w:hAnsi="Arial" w:cs="Arial"/>
        </w:rPr>
      </w:pPr>
      <w:r w:rsidRPr="00265A17">
        <w:rPr>
          <w:rFonts w:ascii="Arial" w:hAnsi="Arial" w:cs="Arial"/>
        </w:rPr>
        <w:t>Wenn Sie Ihre csv-Datei in eStatistik.core hochladen, bekommen Sie unmittelbar eine Fehlermeldung falls Sie ein unzulässiges finanzstatistisches Konto und/oder Produkt, eine unzulässige Berichtsstellennummer oder Berichtszeitraum verwendet haben. Sie haben also die Möglichkeit Fehler im Voraus zu eliminieren und reduzieren somit die Anzahl an Rückfragen.</w:t>
      </w:r>
    </w:p>
    <w:p w14:paraId="1B471C3A" w14:textId="77777777" w:rsidR="00265A17" w:rsidRPr="00265A17" w:rsidRDefault="00265A17" w:rsidP="00265A17">
      <w:pPr>
        <w:spacing w:line="240" w:lineRule="atLeast"/>
        <w:jc w:val="both"/>
        <w:rPr>
          <w:rFonts w:ascii="Arial" w:hAnsi="Arial" w:cs="Arial"/>
        </w:rPr>
      </w:pPr>
    </w:p>
    <w:p w14:paraId="1212956B" w14:textId="77777777" w:rsidR="00265A17" w:rsidRPr="00265A17" w:rsidRDefault="00265A17" w:rsidP="00265A17">
      <w:pPr>
        <w:spacing w:line="240" w:lineRule="atLeast"/>
        <w:jc w:val="both"/>
        <w:rPr>
          <w:rFonts w:ascii="Arial" w:hAnsi="Arial" w:cs="Arial"/>
        </w:rPr>
      </w:pPr>
      <w:r w:rsidRPr="00265A17">
        <w:rPr>
          <w:rFonts w:ascii="Arial" w:hAnsi="Arial" w:cs="Arial"/>
        </w:rPr>
        <w:t xml:space="preserve">Viele IT-Dienstleister haben sich bereits mit eStatistik.core auseinandergesetzt, sodass sie in der Lage sind, die benötigte csv-Datei unmittelbar aus Ihrer genutzten Software zu generieren. </w:t>
      </w:r>
    </w:p>
    <w:p w14:paraId="6DFAF41F" w14:textId="77777777" w:rsidR="00265A17" w:rsidRPr="00265A17" w:rsidRDefault="00265A17" w:rsidP="00265A17">
      <w:pPr>
        <w:spacing w:after="160" w:line="259" w:lineRule="auto"/>
        <w:rPr>
          <w:rFonts w:ascii="Arial" w:hAnsi="Arial" w:cs="Arial"/>
        </w:rPr>
      </w:pPr>
      <w:r w:rsidRPr="00265A17">
        <w:rPr>
          <w:rFonts w:ascii="Arial" w:hAnsi="Arial" w:cs="Arial"/>
        </w:rPr>
        <w:t>Zur Lieferung per eStatistik.core müssen Sie einige Einstellungen vornehmen. Eine Anleitung zur Einrichtung von eStatistik.core finden Sie auf unserer Webseite unter:</w:t>
      </w:r>
    </w:p>
    <w:p w14:paraId="4F7449B0" w14:textId="77777777" w:rsidR="00265A17" w:rsidRPr="00265A17" w:rsidRDefault="00783722" w:rsidP="00265A17">
      <w:pPr>
        <w:spacing w:line="240" w:lineRule="atLeast"/>
        <w:rPr>
          <w:rFonts w:ascii="Arial" w:hAnsi="Arial" w:cs="Arial"/>
        </w:rPr>
      </w:pPr>
      <w:hyperlink r:id="rId15" w:history="1">
        <w:r w:rsidR="00265A17" w:rsidRPr="00265A17">
          <w:rPr>
            <w:rFonts w:ascii="Arial" w:hAnsi="Arial" w:cs="Arial"/>
            <w:color w:val="0563C1" w:themeColor="hyperlink"/>
            <w:u w:val="single"/>
          </w:rPr>
          <w:t>https://statistik.hessen.de/daten-online-melden</w:t>
        </w:r>
      </w:hyperlink>
      <w:r w:rsidR="00265A17" w:rsidRPr="00265A17">
        <w:rPr>
          <w:rFonts w:ascii="Arial" w:hAnsi="Arial" w:cs="Arial"/>
          <w:color w:val="0563C1" w:themeColor="hyperlink"/>
          <w:u w:val="single"/>
        </w:rPr>
        <w:t xml:space="preserve"> -&gt; Öffentliche Finanzen – Vierteljährliche Kassenstatistik - 71517</w:t>
      </w:r>
    </w:p>
    <w:p w14:paraId="3B3BCBAA" w14:textId="77777777" w:rsidR="00265A17" w:rsidRPr="00265A17" w:rsidRDefault="00265A17" w:rsidP="00265A17">
      <w:pPr>
        <w:spacing w:line="240" w:lineRule="atLeast"/>
        <w:rPr>
          <w:rFonts w:ascii="Arial" w:hAnsi="Arial" w:cs="Arial"/>
        </w:rPr>
      </w:pPr>
    </w:p>
    <w:p w14:paraId="000113BA" w14:textId="77777777" w:rsidR="00265A17" w:rsidRPr="00BC0062" w:rsidRDefault="00265A17" w:rsidP="00265A17">
      <w:pPr>
        <w:spacing w:line="240" w:lineRule="atLeast"/>
        <w:rPr>
          <w:rFonts w:ascii="Arial" w:hAnsi="Arial" w:cs="Arial"/>
          <w:color w:val="000000" w:themeColor="text1"/>
        </w:rPr>
      </w:pPr>
      <w:r w:rsidRPr="00265A17">
        <w:rPr>
          <w:rFonts w:ascii="Arial" w:hAnsi="Arial" w:cs="Arial"/>
        </w:rPr>
        <w:t xml:space="preserve">Sollten bei Ihnen technische Probleme auftauchen oder Ihre Zugangsdaten nicht mehr zur Verfügung stehen, bitten wir Sie sich per E-Mail </w:t>
      </w:r>
      <w:r w:rsidRPr="00265A17">
        <w:rPr>
          <w:rFonts w:ascii="Arial" w:hAnsi="Arial" w:cs="Arial"/>
          <w:color w:val="000000" w:themeColor="text1"/>
        </w:rPr>
        <w:t>(</w:t>
      </w:r>
      <w:hyperlink r:id="rId16" w:history="1">
        <w:r w:rsidRPr="00265A17">
          <w:rPr>
            <w:rFonts w:ascii="Arial" w:hAnsi="Arial" w:cs="Arial"/>
            <w:color w:val="0563C1" w:themeColor="hyperlink"/>
            <w:u w:val="single"/>
          </w:rPr>
          <w:t>estatistik.core@destatis.de</w:t>
        </w:r>
      </w:hyperlink>
      <w:r w:rsidRPr="00BC0062">
        <w:rPr>
          <w:rFonts w:ascii="Arial" w:hAnsi="Arial" w:cs="Arial"/>
          <w:color w:val="000000" w:themeColor="text1"/>
        </w:rPr>
        <w:t xml:space="preserve">) an das Statistische Bundesamt zu wenden. </w:t>
      </w:r>
    </w:p>
    <w:p w14:paraId="445E6750" w14:textId="77777777" w:rsidR="00265A17" w:rsidRPr="00265A17" w:rsidRDefault="00265A17" w:rsidP="00265A17">
      <w:pPr>
        <w:spacing w:line="240" w:lineRule="atLeast"/>
        <w:rPr>
          <w:rFonts w:ascii="Arial" w:hAnsi="Arial" w:cs="Arial"/>
          <w:color w:val="000000" w:themeColor="text1"/>
        </w:rPr>
      </w:pPr>
    </w:p>
    <w:p w14:paraId="74AE505C" w14:textId="77777777" w:rsidR="00265A17" w:rsidRPr="00265A17" w:rsidRDefault="00265A17" w:rsidP="00265A17">
      <w:pPr>
        <w:spacing w:line="240" w:lineRule="atLeast"/>
        <w:rPr>
          <w:rFonts w:ascii="Arial" w:hAnsi="Arial" w:cs="Arial"/>
        </w:rPr>
      </w:pPr>
      <w:r w:rsidRPr="00265A17">
        <w:rPr>
          <w:rFonts w:ascii="Arial" w:hAnsi="Arial" w:cs="Arial"/>
        </w:rPr>
        <w:t xml:space="preserve">Bitte beachten Sie, dass eStatistik.core kein Bemerkungsfeld zur Verfügung stellt. Sollten Sie wichtige Informationen zu Ihrer statistischen Meldung haben, bitten wir Sie, diese per E-Mail an </w:t>
      </w:r>
      <w:hyperlink r:id="rId17" w:history="1">
        <w:r w:rsidRPr="00265A17">
          <w:rPr>
            <w:rFonts w:ascii="Arial" w:hAnsi="Arial" w:cs="Arial"/>
            <w:color w:val="0563C1" w:themeColor="hyperlink"/>
            <w:u w:val="single"/>
          </w:rPr>
          <w:t>kassenstatistik@statistik.hessen.de</w:t>
        </w:r>
      </w:hyperlink>
      <w:r w:rsidRPr="00265A17">
        <w:rPr>
          <w:rFonts w:ascii="Arial" w:hAnsi="Arial" w:cs="Arial"/>
        </w:rPr>
        <w:t xml:space="preserve"> zu übermitteln.</w:t>
      </w:r>
    </w:p>
    <w:p w14:paraId="6CD07337" w14:textId="1FF5B387" w:rsidR="00265A17" w:rsidRPr="00265A17" w:rsidRDefault="00265A17" w:rsidP="00265A17">
      <w:pPr>
        <w:spacing w:line="240" w:lineRule="atLeast"/>
        <w:jc w:val="both"/>
        <w:rPr>
          <w:rFonts w:ascii="Arial" w:hAnsi="Arial" w:cs="Arial"/>
        </w:rPr>
      </w:pPr>
    </w:p>
    <w:p w14:paraId="13E0FA06" w14:textId="77777777" w:rsidR="00265A17" w:rsidRPr="00265A17" w:rsidRDefault="00265A17" w:rsidP="00265A17">
      <w:pPr>
        <w:keepNext/>
        <w:keepLines/>
        <w:spacing w:after="120" w:line="240" w:lineRule="atLeast"/>
        <w:jc w:val="both"/>
        <w:outlineLvl w:val="1"/>
        <w:rPr>
          <w:rFonts w:ascii="Arial" w:eastAsiaTheme="majorEastAsia" w:hAnsi="Arial" w:cs="Arial"/>
          <w:b/>
          <w:bCs/>
          <w:color w:val="0A3776"/>
          <w:sz w:val="24"/>
          <w:u w:val="single"/>
        </w:rPr>
      </w:pPr>
      <w:bookmarkStart w:id="16" w:name="_Toc129756742"/>
      <w:bookmarkStart w:id="17" w:name="_Toc163112836"/>
      <w:bookmarkStart w:id="18" w:name="_Toc163114791"/>
      <w:r w:rsidRPr="00265A17">
        <w:rPr>
          <w:rFonts w:ascii="Arial" w:eastAsiaTheme="majorEastAsia" w:hAnsi="Arial" w:cs="Arial"/>
          <w:b/>
          <w:bCs/>
          <w:color w:val="0A3776"/>
          <w:sz w:val="24"/>
          <w:u w:val="single"/>
        </w:rPr>
        <w:t>3.2 Über ekom21-KGRZ Hessen</w:t>
      </w:r>
      <w:bookmarkEnd w:id="16"/>
      <w:bookmarkEnd w:id="17"/>
      <w:bookmarkEnd w:id="18"/>
    </w:p>
    <w:p w14:paraId="38E4612B" w14:textId="77777777" w:rsidR="00265A17" w:rsidRPr="00265A17" w:rsidRDefault="00265A17" w:rsidP="00265A17">
      <w:pPr>
        <w:spacing w:line="240" w:lineRule="atLeast"/>
        <w:rPr>
          <w:rFonts w:ascii="Arial" w:hAnsi="Arial" w:cs="Arial"/>
          <w:color w:val="000000"/>
        </w:rPr>
      </w:pPr>
      <w:r w:rsidRPr="00265A17">
        <w:rPr>
          <w:rFonts w:ascii="Arial" w:hAnsi="Arial" w:cs="Arial"/>
          <w:color w:val="000000"/>
        </w:rPr>
        <w:t>Berichtspflichtige, die die „ekom21-KGRZ Hessen“ mit der Lieferung ihrer Daten beauftragt haben, haben nur noch die Möglichkeit weitere Informationen per Mail mitzuteilen.</w:t>
      </w:r>
    </w:p>
    <w:p w14:paraId="2C706FCF" w14:textId="77777777" w:rsidR="00265A17" w:rsidRPr="00265A17" w:rsidRDefault="00265A17" w:rsidP="00265A17">
      <w:pPr>
        <w:spacing w:line="240" w:lineRule="atLeast"/>
        <w:rPr>
          <w:rFonts w:ascii="Arial" w:hAnsi="Arial" w:cs="Arial"/>
          <w:color w:val="000000"/>
        </w:rPr>
      </w:pPr>
      <w:r w:rsidRPr="00265A17">
        <w:rPr>
          <w:rFonts w:ascii="Arial" w:hAnsi="Arial" w:cs="Arial"/>
          <w:color w:val="000000"/>
        </w:rPr>
        <w:t xml:space="preserve"> </w:t>
      </w:r>
    </w:p>
    <w:p w14:paraId="707E3316" w14:textId="77777777" w:rsidR="00265A17" w:rsidRPr="00265A17" w:rsidRDefault="00265A17" w:rsidP="00265A17">
      <w:pPr>
        <w:spacing w:line="240" w:lineRule="atLeast"/>
        <w:rPr>
          <w:rFonts w:ascii="Arial" w:hAnsi="Arial" w:cs="Arial"/>
          <w:b/>
          <w:color w:val="000000" w:themeColor="text1"/>
        </w:rPr>
      </w:pPr>
      <w:r w:rsidRPr="00265A17">
        <w:rPr>
          <w:rFonts w:ascii="Arial" w:hAnsi="Arial" w:cs="Arial"/>
          <w:b/>
          <w:color w:val="000000" w:themeColor="text1"/>
        </w:rPr>
        <w:t>Die inhaltliche Verantwortung für die Zahlen bleibt trotz der Beauftragung der ekom21-KGRZ Hessen bei Ihnen als Kommune, da die gesetzliche Auskunftsverpflichtung beim Melder liegt.</w:t>
      </w:r>
    </w:p>
    <w:p w14:paraId="347AB97F" w14:textId="77777777" w:rsidR="00265A17" w:rsidRPr="00265A17" w:rsidRDefault="00265A17" w:rsidP="00265A17">
      <w:pPr>
        <w:spacing w:line="240" w:lineRule="atLeast"/>
        <w:rPr>
          <w:rFonts w:ascii="Arial" w:hAnsi="Arial" w:cs="Arial"/>
          <w:color w:val="000000" w:themeColor="text1"/>
        </w:rPr>
      </w:pPr>
    </w:p>
    <w:p w14:paraId="632B0331" w14:textId="77777777" w:rsidR="00265A17" w:rsidRPr="00265A17" w:rsidRDefault="00265A17" w:rsidP="00265A17">
      <w:pPr>
        <w:autoSpaceDE w:val="0"/>
        <w:autoSpaceDN w:val="0"/>
        <w:adjustRightInd w:val="0"/>
        <w:spacing w:line="240" w:lineRule="atLeast"/>
        <w:jc w:val="center"/>
        <w:rPr>
          <w:rFonts w:ascii="Arial" w:hAnsi="Arial" w:cs="Arial"/>
          <w:b/>
          <w:color w:val="FF0000"/>
        </w:rPr>
      </w:pPr>
      <w:r w:rsidRPr="00265A17">
        <w:rPr>
          <w:rFonts w:ascii="Segoe UI Symbol" w:hAnsi="Segoe UI Symbol" w:cs="Segoe UI Symbol"/>
          <w:b/>
          <w:color w:val="FF0000"/>
        </w:rPr>
        <w:t xml:space="preserve">❕ </w:t>
      </w:r>
      <w:r w:rsidRPr="00265A17">
        <w:rPr>
          <w:rFonts w:ascii="Arial" w:hAnsi="Arial" w:cs="Arial"/>
          <w:b/>
          <w:color w:val="FF0000"/>
        </w:rPr>
        <w:t xml:space="preserve">Bitte beachten Sie nachfolgenden Hinweis </w:t>
      </w:r>
      <w:r w:rsidRPr="00265A17">
        <w:rPr>
          <w:rFonts w:ascii="Segoe UI Symbol" w:hAnsi="Segoe UI Symbol" w:cs="Segoe UI Symbol"/>
          <w:b/>
          <w:color w:val="FF0000"/>
        </w:rPr>
        <w:t>❕</w:t>
      </w:r>
    </w:p>
    <w:p w14:paraId="042668A3" w14:textId="77777777" w:rsidR="00265A17" w:rsidRPr="00265A17" w:rsidRDefault="00265A17" w:rsidP="00265A17">
      <w:pPr>
        <w:autoSpaceDE w:val="0"/>
        <w:autoSpaceDN w:val="0"/>
        <w:adjustRightInd w:val="0"/>
        <w:spacing w:line="240" w:lineRule="atLeast"/>
        <w:rPr>
          <w:rFonts w:ascii="Arial" w:hAnsi="Arial" w:cs="Arial"/>
          <w:b/>
        </w:rPr>
      </w:pPr>
    </w:p>
    <w:p w14:paraId="5088F607" w14:textId="38E52EE3" w:rsidR="00265A17" w:rsidRPr="00265A17" w:rsidRDefault="00265A17" w:rsidP="00265A17">
      <w:pPr>
        <w:spacing w:line="240" w:lineRule="atLeast"/>
      </w:pPr>
      <w:r w:rsidRPr="00265A17">
        <w:rPr>
          <w:rFonts w:ascii="Arial" w:hAnsi="Arial" w:cs="Arial"/>
          <w:color w:val="000000"/>
        </w:rPr>
        <w:t xml:space="preserve">Bitte nutzen Sie die von der ekom21-KGRZ Hessen zur Verfügung gestellte Eingabemaske für die Hebesätze, Endstände der </w:t>
      </w:r>
      <w:r w:rsidRPr="00265A17">
        <w:rPr>
          <w:rFonts w:ascii="Arial" w:hAnsi="Arial" w:cs="Arial"/>
          <w:color w:val="000000" w:themeColor="text1"/>
        </w:rPr>
        <w:t xml:space="preserve">Verbindlichkeiten und </w:t>
      </w:r>
      <w:r w:rsidR="00C22A1C">
        <w:rPr>
          <w:rFonts w:ascii="Arial" w:hAnsi="Arial" w:cs="Arial"/>
          <w:color w:val="000000" w:themeColor="text1"/>
        </w:rPr>
        <w:t>F</w:t>
      </w:r>
      <w:r w:rsidRPr="00265A17">
        <w:rPr>
          <w:rFonts w:ascii="Arial" w:hAnsi="Arial" w:cs="Arial"/>
          <w:color w:val="000000" w:themeColor="text1"/>
        </w:rPr>
        <w:t xml:space="preserve">inanziellen Transaktionen. Tragen Sie die Werte bitte </w:t>
      </w:r>
      <w:r w:rsidRPr="00265A17">
        <w:rPr>
          <w:rFonts w:ascii="Arial" w:hAnsi="Arial" w:cs="Arial"/>
          <w:b/>
          <w:i/>
        </w:rPr>
        <w:t>vor dem Abruftermin</w:t>
      </w:r>
      <w:r w:rsidRPr="00265A17">
        <w:rPr>
          <w:rFonts w:ascii="Arial" w:hAnsi="Arial" w:cs="Arial"/>
        </w:rPr>
        <w:t xml:space="preserve"> </w:t>
      </w:r>
      <w:r w:rsidRPr="00265A17">
        <w:rPr>
          <w:rFonts w:ascii="Arial" w:hAnsi="Arial" w:cs="Arial"/>
          <w:color w:val="000000"/>
        </w:rPr>
        <w:t xml:space="preserve">ein, damit uns die ekom21-KGRZ Hessen eine </w:t>
      </w:r>
      <w:r w:rsidRPr="00265A17">
        <w:rPr>
          <w:rFonts w:ascii="Arial" w:hAnsi="Arial" w:cs="Arial"/>
          <w:b/>
          <w:i/>
          <w:color w:val="000000"/>
        </w:rPr>
        <w:t>vollständige</w:t>
      </w:r>
      <w:r w:rsidRPr="00265A17">
        <w:rPr>
          <w:rFonts w:ascii="Arial" w:hAnsi="Arial" w:cs="Arial"/>
          <w:color w:val="000000"/>
        </w:rPr>
        <w:t xml:space="preserve"> Datenlieferung zur Verfügung stellen kann!</w:t>
      </w:r>
    </w:p>
    <w:p w14:paraId="7EBA7A0B" w14:textId="1E12C0C0" w:rsidR="00FD390B" w:rsidRPr="00265A17" w:rsidRDefault="00265A17">
      <w:pPr>
        <w:spacing w:after="160" w:line="259" w:lineRule="auto"/>
        <w:rPr>
          <w:sz w:val="24"/>
          <w:szCs w:val="24"/>
        </w:rPr>
      </w:pPr>
      <w:r>
        <w:rPr>
          <w:sz w:val="24"/>
          <w:szCs w:val="24"/>
        </w:rPr>
        <w:br w:type="page"/>
      </w:r>
    </w:p>
    <w:p w14:paraId="72CC08B2" w14:textId="522CE3BC" w:rsidR="00FD390B" w:rsidRPr="00A0631B" w:rsidRDefault="00FD390B" w:rsidP="00FD390B">
      <w:pPr>
        <w:pStyle w:val="berschrift1"/>
        <w:spacing w:before="0" w:line="240" w:lineRule="atLeast"/>
        <w:jc w:val="center"/>
        <w:rPr>
          <w:rFonts w:ascii="Arial" w:hAnsi="Arial" w:cs="Arial"/>
          <w:b/>
          <w:color w:val="0A3776"/>
          <w:szCs w:val="26"/>
        </w:rPr>
      </w:pPr>
      <w:bookmarkStart w:id="19" w:name="_Toc163114792"/>
      <w:r w:rsidRPr="00A0631B">
        <w:rPr>
          <w:rFonts w:ascii="Arial" w:hAnsi="Arial" w:cs="Arial"/>
          <w:b/>
          <w:color w:val="0A3776"/>
          <w:szCs w:val="26"/>
        </w:rPr>
        <w:lastRenderedPageBreak/>
        <w:t>4 Hinweise zu Ein-</w:t>
      </w:r>
      <w:r w:rsidR="006E539D" w:rsidRPr="00A0631B">
        <w:rPr>
          <w:rFonts w:ascii="Arial" w:hAnsi="Arial" w:cs="Arial"/>
          <w:b/>
          <w:color w:val="0A3776"/>
          <w:szCs w:val="26"/>
        </w:rPr>
        <w:t xml:space="preserve"> </w:t>
      </w:r>
      <w:r w:rsidRPr="00A0631B">
        <w:rPr>
          <w:rFonts w:ascii="Arial" w:hAnsi="Arial" w:cs="Arial"/>
          <w:b/>
          <w:color w:val="0A3776"/>
          <w:szCs w:val="26"/>
        </w:rPr>
        <w:t>und Auszahlungen</w:t>
      </w:r>
      <w:bookmarkEnd w:id="19"/>
    </w:p>
    <w:p w14:paraId="3352FA3C" w14:textId="77777777" w:rsidR="00FD390B" w:rsidRDefault="00FD390B" w:rsidP="00FD390B">
      <w:pPr>
        <w:tabs>
          <w:tab w:val="left" w:pos="284"/>
        </w:tabs>
        <w:spacing w:line="240" w:lineRule="atLeast"/>
        <w:rPr>
          <w:rFonts w:ascii="Arial" w:eastAsiaTheme="majorEastAsia" w:hAnsi="Arial" w:cs="Arial"/>
          <w:b/>
          <w:bCs/>
          <w:color w:val="0A3776"/>
          <w:sz w:val="24"/>
          <w:u w:val="single"/>
        </w:rPr>
      </w:pPr>
    </w:p>
    <w:p w14:paraId="04BD8DDF" w14:textId="41D213EB" w:rsidR="00FD390B" w:rsidRPr="00265A17" w:rsidRDefault="00FD390B" w:rsidP="00FD390B">
      <w:pPr>
        <w:tabs>
          <w:tab w:val="left" w:pos="284"/>
        </w:tabs>
        <w:spacing w:line="240" w:lineRule="atLeast"/>
        <w:rPr>
          <w:rFonts w:ascii="Arial" w:hAnsi="Arial" w:cs="Arial"/>
        </w:rPr>
      </w:pPr>
      <w:r w:rsidRPr="00265A17">
        <w:rPr>
          <w:rFonts w:ascii="Arial" w:hAnsi="Arial" w:cs="Arial"/>
        </w:rPr>
        <w:t xml:space="preserve">Es sind nur die </w:t>
      </w:r>
      <w:r w:rsidRPr="00265A17">
        <w:rPr>
          <w:rFonts w:ascii="Arial" w:hAnsi="Arial" w:cs="Arial"/>
          <w:b/>
          <w:u w:val="single"/>
        </w:rPr>
        <w:t>zahlungswirksamen und valutagerechten</w:t>
      </w:r>
      <w:r w:rsidRPr="00265A17">
        <w:rPr>
          <w:rFonts w:ascii="Arial" w:hAnsi="Arial" w:cs="Arial"/>
        </w:rPr>
        <w:t xml:space="preserve"> Ein- und Auszahlungen in Quartalswerten (Stichtag ist der letzte Tag des jeweiligen Quartals), jeweils in vollen Euro, zu melden. Auch die Auszahlungen sind mit einem positiven Vorzeichen zu melden. </w:t>
      </w:r>
    </w:p>
    <w:p w14:paraId="76F8486D" w14:textId="77777777" w:rsidR="00FD390B" w:rsidRPr="00265A17" w:rsidRDefault="00FD390B" w:rsidP="00FD390B">
      <w:pPr>
        <w:tabs>
          <w:tab w:val="left" w:pos="284"/>
        </w:tabs>
        <w:spacing w:line="240" w:lineRule="atLeast"/>
        <w:rPr>
          <w:rFonts w:ascii="Arial" w:hAnsi="Arial" w:cs="Arial"/>
        </w:rPr>
      </w:pPr>
    </w:p>
    <w:p w14:paraId="2DFF6214" w14:textId="77777777" w:rsidR="00FD390B" w:rsidRPr="00265A17" w:rsidRDefault="00FD390B" w:rsidP="00FD390B">
      <w:pPr>
        <w:tabs>
          <w:tab w:val="left" w:pos="284"/>
        </w:tabs>
        <w:spacing w:line="240" w:lineRule="atLeast"/>
        <w:rPr>
          <w:rFonts w:ascii="Arial" w:hAnsi="Arial" w:cs="Arial"/>
        </w:rPr>
      </w:pPr>
      <w:r w:rsidRPr="00265A17">
        <w:rPr>
          <w:rFonts w:ascii="Arial" w:hAnsi="Arial" w:cs="Arial"/>
        </w:rPr>
        <w:t>Da nur Stromgrößen der Finanzrechnung erhoben werden, sind Zahlungsflüsse i. S. v. Umbuchungen/Korrekturbuchungen aufgrund von internen Leistungsverrechnungen (ILV) und aus der Kostenleistungsrechnung (KLR) nicht zu melden, da hier keine Zahlungswirksamkeit vorliegt.</w:t>
      </w:r>
    </w:p>
    <w:p w14:paraId="39626312" w14:textId="77777777" w:rsidR="00FD390B" w:rsidRPr="00265A17" w:rsidRDefault="00FD390B" w:rsidP="00FD390B">
      <w:pPr>
        <w:tabs>
          <w:tab w:val="left" w:pos="284"/>
        </w:tabs>
        <w:spacing w:line="240" w:lineRule="atLeast"/>
        <w:rPr>
          <w:rFonts w:ascii="Arial" w:hAnsi="Arial" w:cs="Arial"/>
        </w:rPr>
      </w:pPr>
    </w:p>
    <w:p w14:paraId="0CEAEE97" w14:textId="67440BF8" w:rsidR="00FD390B" w:rsidRPr="00265A17" w:rsidRDefault="00FD390B" w:rsidP="006905A6">
      <w:pPr>
        <w:tabs>
          <w:tab w:val="left" w:pos="284"/>
        </w:tabs>
        <w:spacing w:line="240" w:lineRule="atLeast"/>
      </w:pPr>
      <w:r w:rsidRPr="00265A17">
        <w:rPr>
          <w:rFonts w:ascii="Arial" w:hAnsi="Arial" w:cs="Arial"/>
        </w:rPr>
        <w:t>Nach § 38 Abs. 2 GemHVO ist</w:t>
      </w:r>
      <w:r w:rsidRPr="00265A17">
        <w:rPr>
          <w:rFonts w:ascii="Arial" w:hAnsi="Arial" w:cs="Arial"/>
          <w:i/>
        </w:rPr>
        <w:t xml:space="preserve"> </w:t>
      </w:r>
      <w:r w:rsidRPr="00265A17">
        <w:rPr>
          <w:rFonts w:ascii="Arial" w:hAnsi="Arial" w:cs="Arial"/>
        </w:rPr>
        <w:t xml:space="preserve">die Verrechnung von Ein- und Auszahlungen und die daraus resultierenden Minusbeträge </w:t>
      </w:r>
      <w:r w:rsidRPr="00265A17">
        <w:rPr>
          <w:rFonts w:ascii="Arial" w:hAnsi="Arial" w:cs="Arial"/>
          <w:b/>
        </w:rPr>
        <w:t>nicht</w:t>
      </w:r>
      <w:r w:rsidRPr="00265A17">
        <w:rPr>
          <w:rFonts w:ascii="Arial" w:hAnsi="Arial" w:cs="Arial"/>
        </w:rPr>
        <w:t xml:space="preserve"> zulässig. Die Zahlungsflüsse müssen auch statistisch einzeln in den jeweiligen Konten gemeldet werden (Bruttoprinzip). </w:t>
      </w:r>
    </w:p>
    <w:p w14:paraId="5F7E8EF9" w14:textId="2AEF988A" w:rsidR="00FD390B" w:rsidRDefault="00FD390B" w:rsidP="00FD390B"/>
    <w:p w14:paraId="4E407AF9" w14:textId="73D55A6F" w:rsidR="00FD390B" w:rsidRPr="00874016" w:rsidRDefault="00FD390B" w:rsidP="00FD390B">
      <w:pPr>
        <w:keepNext/>
        <w:keepLines/>
        <w:spacing w:after="120" w:line="240" w:lineRule="atLeast"/>
        <w:jc w:val="both"/>
        <w:outlineLvl w:val="1"/>
        <w:rPr>
          <w:rFonts w:ascii="Arial" w:eastAsiaTheme="majorEastAsia" w:hAnsi="Arial" w:cs="Arial"/>
          <w:b/>
          <w:bCs/>
          <w:color w:val="0A3776"/>
          <w:sz w:val="24"/>
          <w:u w:val="single"/>
        </w:rPr>
      </w:pPr>
      <w:bookmarkStart w:id="20" w:name="_Toc163114793"/>
      <w:r>
        <w:rPr>
          <w:rFonts w:ascii="Arial" w:eastAsiaTheme="majorEastAsia" w:hAnsi="Arial" w:cs="Arial"/>
          <w:b/>
          <w:bCs/>
          <w:color w:val="0A3776"/>
          <w:sz w:val="24"/>
          <w:u w:val="single"/>
        </w:rPr>
        <w:t>4.1</w:t>
      </w:r>
      <w:r w:rsidRPr="00874016">
        <w:rPr>
          <w:rFonts w:ascii="Arial" w:eastAsiaTheme="majorEastAsia" w:hAnsi="Arial" w:cs="Arial"/>
          <w:b/>
          <w:bCs/>
          <w:color w:val="0A3776"/>
          <w:sz w:val="24"/>
          <w:u w:val="single"/>
        </w:rPr>
        <w:t xml:space="preserve"> Verwahr- und Vorschusskonten/durchlaufende Gelder</w:t>
      </w:r>
      <w:bookmarkEnd w:id="20"/>
    </w:p>
    <w:p w14:paraId="1ABA710F" w14:textId="33155A0F" w:rsidR="00FD390B" w:rsidRPr="00265A17" w:rsidRDefault="00FD390B" w:rsidP="00FD390B">
      <w:pPr>
        <w:spacing w:line="240" w:lineRule="atLeast"/>
        <w:rPr>
          <w:rFonts w:ascii="Arial" w:hAnsi="Arial" w:cs="Arial"/>
        </w:rPr>
      </w:pPr>
      <w:r w:rsidRPr="00265A17">
        <w:rPr>
          <w:rFonts w:ascii="Arial" w:hAnsi="Arial" w:cs="Arial"/>
        </w:rPr>
        <w:t>Ein- und Auszahlungen, die auf Verwahr- oder Vorschusskonten gebucht werden, können in der Statistik nicht verarbeitet werden und müssen zwingend ihrer Zweckbestimmung entsprechend auf die zugehörigen Konten aufgeteilt werden. Darüber hinaus bitten wir Sie, die Konten darauf zu prüfen, ob Geschäftsvorfäll</w:t>
      </w:r>
      <w:r w:rsidR="00C22A1C">
        <w:rPr>
          <w:rFonts w:ascii="Arial" w:hAnsi="Arial" w:cs="Arial"/>
        </w:rPr>
        <w:t>e vorliegen, die im Rahmen der F</w:t>
      </w:r>
      <w:r w:rsidRPr="00265A17">
        <w:rPr>
          <w:rFonts w:ascii="Arial" w:hAnsi="Arial" w:cs="Arial"/>
        </w:rPr>
        <w:t xml:space="preserve">inanziellen Transaktionen als weitere Forderungen (Merkmale T710 und T720) bzw. weitere Verbindlichkeiten (Merkmale T810 und T820) zu melden sind. </w:t>
      </w:r>
    </w:p>
    <w:p w14:paraId="7D9014AD" w14:textId="77777777" w:rsidR="00FD390B" w:rsidRPr="00265A17" w:rsidRDefault="00FD390B" w:rsidP="00FD390B">
      <w:pPr>
        <w:spacing w:line="240" w:lineRule="atLeast"/>
        <w:rPr>
          <w:rFonts w:ascii="Arial" w:hAnsi="Arial" w:cs="Arial"/>
        </w:rPr>
      </w:pPr>
    </w:p>
    <w:p w14:paraId="65DBF3FA" w14:textId="3FEA8EEF" w:rsidR="00736940" w:rsidRDefault="00FD390B" w:rsidP="00C22A1C">
      <w:pPr>
        <w:rPr>
          <w:rFonts w:ascii="Arial" w:hAnsi="Arial" w:cs="Arial"/>
        </w:rPr>
      </w:pPr>
      <w:r w:rsidRPr="00265A17">
        <w:rPr>
          <w:rFonts w:ascii="Arial" w:hAnsi="Arial" w:cs="Arial"/>
        </w:rPr>
        <w:t xml:space="preserve">Wir bitten Sie, Ein- bzw. Auszahlungen im Zusammenhang mit durchlaufenden Geldern im Rahmen der Vierteljährlichen Kassenstatistik </w:t>
      </w:r>
      <w:r w:rsidRPr="00265A17">
        <w:rPr>
          <w:rFonts w:ascii="Arial" w:hAnsi="Arial" w:cs="Arial"/>
          <w:b/>
          <w:u w:val="single"/>
        </w:rPr>
        <w:t>nicht</w:t>
      </w:r>
      <w:r w:rsidRPr="00265A17">
        <w:rPr>
          <w:rFonts w:ascii="Arial" w:hAnsi="Arial" w:cs="Arial"/>
        </w:rPr>
        <w:t xml:space="preserve"> zu melden, da diese nicht im </w:t>
      </w:r>
      <w:r w:rsidR="00703A52" w:rsidRPr="00265A17">
        <w:rPr>
          <w:rFonts w:ascii="Arial" w:hAnsi="Arial" w:cs="Arial"/>
        </w:rPr>
        <w:t>Wirtschaftsplan</w:t>
      </w:r>
      <w:r w:rsidRPr="00265A17">
        <w:rPr>
          <w:rFonts w:ascii="Arial" w:hAnsi="Arial" w:cs="Arial"/>
        </w:rPr>
        <w:t xml:space="preserve"> veranschlagt werden dürfen. Verwahrte Treuhandgelder sind </w:t>
      </w:r>
      <w:r w:rsidRPr="00265A17">
        <w:rPr>
          <w:rFonts w:ascii="Arial" w:hAnsi="Arial" w:cs="Arial"/>
          <w:b/>
          <w:u w:val="single"/>
        </w:rPr>
        <w:t>ebenfalls nicht</w:t>
      </w:r>
      <w:r w:rsidRPr="00265A17">
        <w:rPr>
          <w:rFonts w:ascii="Arial" w:hAnsi="Arial" w:cs="Arial"/>
        </w:rPr>
        <w:t xml:space="preserve"> zu melden (sondern vom jeweiligen Eigentümer).</w:t>
      </w:r>
    </w:p>
    <w:p w14:paraId="247A3CB2" w14:textId="77777777" w:rsidR="00C22A1C" w:rsidRPr="00C22A1C" w:rsidRDefault="00C22A1C" w:rsidP="00C22A1C">
      <w:pPr>
        <w:rPr>
          <w:rFonts w:ascii="Arial" w:hAnsi="Arial" w:cs="Arial"/>
        </w:rPr>
      </w:pPr>
    </w:p>
    <w:p w14:paraId="233E5249" w14:textId="77777777" w:rsidR="00736940" w:rsidRPr="00736940" w:rsidRDefault="00736940" w:rsidP="00736940">
      <w:pPr>
        <w:keepNext/>
        <w:keepLines/>
        <w:spacing w:after="120" w:line="240" w:lineRule="atLeast"/>
        <w:jc w:val="both"/>
        <w:outlineLvl w:val="1"/>
        <w:rPr>
          <w:rFonts w:ascii="Arial" w:eastAsiaTheme="majorEastAsia" w:hAnsi="Arial" w:cs="Arial"/>
          <w:b/>
          <w:bCs/>
          <w:color w:val="0A3776"/>
          <w:sz w:val="24"/>
          <w:u w:val="single"/>
        </w:rPr>
      </w:pPr>
      <w:bookmarkStart w:id="21" w:name="_Toc163114794"/>
      <w:r w:rsidRPr="00736940">
        <w:rPr>
          <w:rFonts w:ascii="Arial" w:eastAsiaTheme="majorEastAsia" w:hAnsi="Arial" w:cs="Arial"/>
          <w:b/>
          <w:bCs/>
          <w:color w:val="0A3776"/>
          <w:sz w:val="24"/>
          <w:u w:val="single"/>
        </w:rPr>
        <w:t>4.2 Meldung der Umlage von Mitgliedskommunen</w:t>
      </w:r>
      <w:bookmarkEnd w:id="21"/>
    </w:p>
    <w:p w14:paraId="3E392DB1" w14:textId="34ED2E55" w:rsidR="00FD390B" w:rsidRPr="002312B3" w:rsidRDefault="00736940" w:rsidP="00962278">
      <w:pPr>
        <w:spacing w:after="160" w:line="259" w:lineRule="auto"/>
        <w:rPr>
          <w:rFonts w:ascii="Arial" w:hAnsi="Arial" w:cs="Arial"/>
          <w:sz w:val="24"/>
        </w:rPr>
      </w:pPr>
      <w:r w:rsidRPr="00265A17">
        <w:rPr>
          <w:rFonts w:ascii="Arial" w:hAnsi="Arial" w:cs="Arial"/>
        </w:rPr>
        <w:t xml:space="preserve">Einzahlungen aus den Umlagen von Mitgliedskommunen sind finanzstatistisch ausschließlich im Konto „6142 – Zuweisungen für laufende Zwecke von Gemeinden/Gv.“ zu melden. Eine Meldung unter dem Konto „6182 – Allgemeine Umlagen von Gemeinden/Gv.“ oder „6482 – Erstattung von Gemeinden/Gv.2 ist nicht zulässig. </w:t>
      </w:r>
      <w:r w:rsidR="00FD390B" w:rsidRPr="002312B3">
        <w:rPr>
          <w:rFonts w:ascii="Arial" w:hAnsi="Arial" w:cs="Arial"/>
          <w:sz w:val="24"/>
        </w:rPr>
        <w:br w:type="page"/>
      </w:r>
    </w:p>
    <w:p w14:paraId="360AE7CD" w14:textId="04E8EE9D" w:rsidR="00FD390B" w:rsidRPr="00A0631B" w:rsidRDefault="00FD390B" w:rsidP="00FD390B">
      <w:pPr>
        <w:pStyle w:val="berschrift1"/>
        <w:spacing w:before="0" w:line="240" w:lineRule="atLeast"/>
        <w:jc w:val="center"/>
        <w:rPr>
          <w:rFonts w:ascii="Arial" w:hAnsi="Arial" w:cs="Arial"/>
          <w:b/>
          <w:color w:val="0A3776"/>
          <w:szCs w:val="26"/>
        </w:rPr>
      </w:pPr>
      <w:bookmarkStart w:id="22" w:name="_Toc163114795"/>
      <w:r w:rsidRPr="00A0631B">
        <w:rPr>
          <w:rFonts w:ascii="Arial" w:hAnsi="Arial" w:cs="Arial"/>
          <w:b/>
          <w:color w:val="0A3776"/>
          <w:szCs w:val="26"/>
        </w:rPr>
        <w:lastRenderedPageBreak/>
        <w:t>5 Hinweise zu den Verbindlichkeiten</w:t>
      </w:r>
      <w:bookmarkEnd w:id="22"/>
    </w:p>
    <w:p w14:paraId="717E3AF5" w14:textId="77777777" w:rsidR="00FD390B" w:rsidRPr="00FD390B" w:rsidRDefault="00FD390B" w:rsidP="00FD390B"/>
    <w:p w14:paraId="370F9DAD" w14:textId="77777777" w:rsidR="00FD390B" w:rsidRPr="00265A17" w:rsidRDefault="00FD390B" w:rsidP="00FD390B">
      <w:pPr>
        <w:pStyle w:val="Default"/>
        <w:spacing w:line="240" w:lineRule="atLeast"/>
        <w:rPr>
          <w:rFonts w:ascii="Arial" w:hAnsi="Arial" w:cs="Arial"/>
          <w:color w:val="auto"/>
          <w:sz w:val="20"/>
          <w:szCs w:val="22"/>
        </w:rPr>
      </w:pPr>
      <w:r w:rsidRPr="00265A17">
        <w:rPr>
          <w:rFonts w:ascii="Arial" w:hAnsi="Arial" w:cs="Arial"/>
          <w:color w:val="auto"/>
          <w:sz w:val="22"/>
          <w:szCs w:val="22"/>
        </w:rPr>
        <w:t xml:space="preserve">Im Rahmen der Vierteljährlichen Kassenstatistik sind Kreditaufnahmen und -tilgungen sowie die Quartalsendstände der Verbindlichkeiten aus Krediten für Investitionen grundsätzlich </w:t>
      </w:r>
      <w:r w:rsidRPr="00265A17">
        <w:rPr>
          <w:rFonts w:ascii="Arial" w:hAnsi="Arial" w:cs="Arial"/>
          <w:b/>
          <w:color w:val="auto"/>
          <w:sz w:val="22"/>
          <w:szCs w:val="22"/>
          <w:u w:val="single"/>
        </w:rPr>
        <w:t>valutagerecht</w:t>
      </w:r>
      <w:r w:rsidRPr="00265A17">
        <w:rPr>
          <w:rFonts w:ascii="Arial" w:hAnsi="Arial" w:cs="Arial"/>
          <w:color w:val="auto"/>
          <w:sz w:val="22"/>
          <w:szCs w:val="22"/>
        </w:rPr>
        <w:t xml:space="preserve"> (IST-Statistik) zu melden. Das bedeutet, dass dem Schuldenstand – abgesehen von Schuldenübernahmen und Schuldenabtretungen – nur die Kreditaufnahmen und Tilgungsleistungen aufgerechnet bzw. abgezogen werden dürfen, die tatsächlich im Quartal liquiditätswirksam der Kasse zugeführt bzw. abgezogen wurden (siehe Berechnungsschema unten). </w:t>
      </w:r>
    </w:p>
    <w:p w14:paraId="6D20CAE4" w14:textId="77777777" w:rsidR="00FD390B" w:rsidRPr="00265A17" w:rsidRDefault="00FD390B" w:rsidP="00FD390B">
      <w:pPr>
        <w:pStyle w:val="Default"/>
        <w:spacing w:line="240" w:lineRule="atLeast"/>
        <w:jc w:val="both"/>
        <w:rPr>
          <w:rFonts w:ascii="Arial" w:hAnsi="Arial" w:cs="Arial"/>
          <w:color w:val="auto"/>
          <w:sz w:val="20"/>
          <w:szCs w:val="22"/>
        </w:rPr>
      </w:pPr>
    </w:p>
    <w:p w14:paraId="1E146CE3" w14:textId="77777777" w:rsidR="00FD390B" w:rsidRPr="00265A17" w:rsidRDefault="00FD390B" w:rsidP="00FD390B">
      <w:pPr>
        <w:pStyle w:val="Default"/>
        <w:spacing w:line="240" w:lineRule="atLeast"/>
        <w:jc w:val="both"/>
        <w:rPr>
          <w:rFonts w:ascii="Arial" w:hAnsi="Arial" w:cs="Arial"/>
          <w:sz w:val="20"/>
          <w:szCs w:val="22"/>
        </w:rPr>
      </w:pPr>
    </w:p>
    <w:p w14:paraId="10A21536" w14:textId="77777777" w:rsidR="00FD390B" w:rsidRPr="00265A17" w:rsidRDefault="00FD390B" w:rsidP="00FD390B">
      <w:pPr>
        <w:pStyle w:val="Default"/>
        <w:spacing w:line="240" w:lineRule="atLeast"/>
        <w:jc w:val="both"/>
        <w:rPr>
          <w:rFonts w:ascii="Arial" w:hAnsi="Arial" w:cs="Arial"/>
          <w:sz w:val="20"/>
          <w:szCs w:val="22"/>
        </w:rPr>
      </w:pPr>
      <w:r w:rsidRPr="00265A17">
        <w:rPr>
          <w:rFonts w:ascii="Arial" w:hAnsi="Arial" w:cs="Arial"/>
          <w:noProof/>
          <w:sz w:val="20"/>
          <w:szCs w:val="22"/>
          <w:lang w:eastAsia="de-DE"/>
        </w:rPr>
        <mc:AlternateContent>
          <mc:Choice Requires="wps">
            <w:drawing>
              <wp:anchor distT="0" distB="0" distL="114300" distR="114300" simplePos="0" relativeHeight="251662336" behindDoc="0" locked="0" layoutInCell="1" allowOverlap="1" wp14:anchorId="4AE5B3CF" wp14:editId="692FEBEB">
                <wp:simplePos x="0" y="0"/>
                <wp:positionH relativeFrom="margin">
                  <wp:posOffset>784860</wp:posOffset>
                </wp:positionH>
                <wp:positionV relativeFrom="paragraph">
                  <wp:posOffset>52705</wp:posOffset>
                </wp:positionV>
                <wp:extent cx="4183603" cy="2773067"/>
                <wp:effectExtent l="19050" t="19050" r="26670" b="11430"/>
                <wp:wrapNone/>
                <wp:docPr id="8" name="Textfeld 7"/>
                <wp:cNvGraphicFramePr/>
                <a:graphic xmlns:a="http://schemas.openxmlformats.org/drawingml/2006/main">
                  <a:graphicData uri="http://schemas.microsoft.com/office/word/2010/wordprocessingShape">
                    <wps:wsp>
                      <wps:cNvSpPr txBox="1"/>
                      <wps:spPr>
                        <a:xfrm>
                          <a:off x="0" y="0"/>
                          <a:ext cx="4183603" cy="2773067"/>
                        </a:xfrm>
                        <a:prstGeom prst="rect">
                          <a:avLst/>
                        </a:prstGeom>
                        <a:noFill/>
                        <a:ln w="28575">
                          <a:solidFill>
                            <a:schemeClr val="tx1"/>
                          </a:solidFill>
                        </a:ln>
                      </wps:spPr>
                      <wps:txbx>
                        <w:txbxContent>
                          <w:p w14:paraId="559ACB62"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i/>
                                <w:iCs/>
                                <w:color w:val="C00000"/>
                                <w:kern w:val="24"/>
                              </w:rPr>
                              <w:t>Quartalsendstand des Vorquartals</w:t>
                            </w:r>
                          </w:p>
                          <w:p w14:paraId="2E7945BF"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w:t>
                            </w:r>
                            <w:r w:rsidRPr="002312B3">
                              <w:rPr>
                                <w:rFonts w:ascii="Arial" w:hAnsi="Arial" w:cs="Arial"/>
                                <w:b/>
                                <w:bCs/>
                                <w:color w:val="0A3776"/>
                                <w:kern w:val="24"/>
                              </w:rPr>
                              <w:t>valutagerechte</w:t>
                            </w:r>
                            <w:r w:rsidRPr="002312B3">
                              <w:rPr>
                                <w:rFonts w:ascii="Arial" w:hAnsi="Arial" w:cs="Arial"/>
                                <w:bCs/>
                                <w:color w:val="0A3776"/>
                                <w:kern w:val="24"/>
                              </w:rPr>
                              <w:t xml:space="preserve"> Kreditaufnahmen (Kto. 692x)</w:t>
                            </w:r>
                          </w:p>
                          <w:p w14:paraId="7D756D60"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sonst. </w:t>
                            </w:r>
                            <w:r w:rsidRPr="002312B3">
                              <w:rPr>
                                <w:rFonts w:ascii="Arial" w:hAnsi="Arial" w:cs="Arial"/>
                                <w:b/>
                                <w:bCs/>
                                <w:color w:val="0A3776"/>
                                <w:kern w:val="24"/>
                              </w:rPr>
                              <w:t>valutagerechte</w:t>
                            </w:r>
                            <w:r w:rsidRPr="002312B3">
                              <w:rPr>
                                <w:rFonts w:ascii="Arial" w:hAnsi="Arial" w:cs="Arial"/>
                                <w:bCs/>
                                <w:color w:val="0A3776"/>
                                <w:kern w:val="24"/>
                              </w:rPr>
                              <w:t xml:space="preserve"> Zugänge</w:t>
                            </w:r>
                            <w:r w:rsidRPr="002312B3">
                              <w:rPr>
                                <w:rFonts w:ascii="Arial" w:hAnsi="Arial" w:cs="Arial"/>
                                <w:bCs/>
                                <w:color w:val="C00000"/>
                                <w:kern w:val="24"/>
                              </w:rPr>
                              <w:t>**</w:t>
                            </w:r>
                          </w:p>
                          <w:p w14:paraId="1CF1F689"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w:t>
                            </w:r>
                            <w:r w:rsidRPr="002312B3">
                              <w:rPr>
                                <w:rFonts w:ascii="Arial" w:hAnsi="Arial" w:cs="Arial"/>
                                <w:b/>
                                <w:bCs/>
                                <w:color w:val="0A3776"/>
                                <w:kern w:val="24"/>
                              </w:rPr>
                              <w:t>valutagerechte</w:t>
                            </w:r>
                            <w:r w:rsidRPr="002312B3">
                              <w:rPr>
                                <w:rFonts w:ascii="Arial" w:hAnsi="Arial" w:cs="Arial"/>
                                <w:bCs/>
                                <w:color w:val="0A3776"/>
                                <w:kern w:val="24"/>
                              </w:rPr>
                              <w:t xml:space="preserve"> Kredittilgungen</w:t>
                            </w:r>
                            <w:r w:rsidRPr="002312B3">
                              <w:rPr>
                                <w:rFonts w:ascii="Arial" w:hAnsi="Arial" w:cs="Arial"/>
                                <w:bCs/>
                                <w:color w:val="C00000"/>
                                <w:kern w:val="24"/>
                              </w:rPr>
                              <w:t>*</w:t>
                            </w:r>
                            <w:r w:rsidRPr="002312B3">
                              <w:rPr>
                                <w:rFonts w:ascii="Arial" w:hAnsi="Arial" w:cs="Arial"/>
                                <w:bCs/>
                                <w:color w:val="0A3776"/>
                                <w:kern w:val="24"/>
                              </w:rPr>
                              <w:t xml:space="preserve"> (Kto. 792x)</w:t>
                            </w:r>
                          </w:p>
                          <w:p w14:paraId="098BA696"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u w:val="single"/>
                              </w:rPr>
                              <w:t xml:space="preserve">./. sonst. </w:t>
                            </w:r>
                            <w:r w:rsidRPr="002312B3">
                              <w:rPr>
                                <w:rFonts w:ascii="Arial" w:hAnsi="Arial" w:cs="Arial"/>
                                <w:b/>
                                <w:bCs/>
                                <w:color w:val="0A3776"/>
                                <w:kern w:val="24"/>
                                <w:u w:val="single"/>
                              </w:rPr>
                              <w:t>valutagerechte</w:t>
                            </w:r>
                            <w:r w:rsidRPr="002312B3">
                              <w:rPr>
                                <w:rFonts w:ascii="Arial" w:hAnsi="Arial" w:cs="Arial"/>
                                <w:bCs/>
                                <w:color w:val="0A3776"/>
                                <w:kern w:val="24"/>
                                <w:u w:val="single"/>
                              </w:rPr>
                              <w:t xml:space="preserve"> Abgänge</w:t>
                            </w:r>
                            <w:r w:rsidRPr="002312B3">
                              <w:rPr>
                                <w:rFonts w:ascii="Arial" w:hAnsi="Arial" w:cs="Arial"/>
                                <w:bCs/>
                                <w:color w:val="C00000"/>
                                <w:kern w:val="24"/>
                                <w:u w:val="single" w:color="0A3776"/>
                              </w:rPr>
                              <w:t>**</w:t>
                            </w:r>
                          </w:p>
                          <w:p w14:paraId="4D82808A" w14:textId="77777777" w:rsidR="00F16479" w:rsidRPr="002312B3" w:rsidRDefault="00F16479" w:rsidP="00FD390B">
                            <w:pPr>
                              <w:pStyle w:val="StandardWeb"/>
                              <w:spacing w:before="67" w:beforeAutospacing="0" w:after="0" w:afterAutospacing="0"/>
                              <w:textAlignment w:val="baseline"/>
                              <w:rPr>
                                <w:rFonts w:ascii="Arial" w:hAnsi="Arial" w:cs="Arial"/>
                                <w:bCs/>
                                <w:i/>
                                <w:iCs/>
                                <w:color w:val="C00000"/>
                                <w:kern w:val="24"/>
                              </w:rPr>
                            </w:pPr>
                            <w:r w:rsidRPr="002312B3">
                              <w:rPr>
                                <w:rFonts w:ascii="Arial" w:hAnsi="Arial" w:cs="Arial"/>
                                <w:bCs/>
                                <w:i/>
                                <w:iCs/>
                                <w:color w:val="C00000"/>
                                <w:kern w:val="24"/>
                              </w:rPr>
                              <w:t>Quartalsendstand des Meldequartals</w:t>
                            </w:r>
                          </w:p>
                          <w:p w14:paraId="228A02E1" w14:textId="77777777" w:rsidR="00F16479" w:rsidRPr="002312B3" w:rsidRDefault="00F16479" w:rsidP="00FD390B">
                            <w:pPr>
                              <w:pStyle w:val="StandardWeb"/>
                              <w:spacing w:before="67" w:beforeAutospacing="0" w:after="0" w:afterAutospacing="0"/>
                              <w:textAlignment w:val="baseline"/>
                              <w:rPr>
                                <w:rFonts w:ascii="Arial" w:hAnsi="Arial" w:cs="Arial"/>
                              </w:rPr>
                            </w:pPr>
                          </w:p>
                          <w:p w14:paraId="239D35ED" w14:textId="77777777" w:rsidR="00F16479" w:rsidRPr="002312B3" w:rsidRDefault="00F16479" w:rsidP="00FD390B">
                            <w:pPr>
                              <w:pStyle w:val="StandardWeb"/>
                              <w:spacing w:before="53" w:beforeAutospacing="0" w:after="0" w:afterAutospacing="0"/>
                              <w:textAlignment w:val="baseline"/>
                              <w:rPr>
                                <w:rFonts w:ascii="Arial" w:hAnsi="Arial" w:cs="Arial"/>
                              </w:rPr>
                            </w:pPr>
                            <w:r w:rsidRPr="002312B3">
                              <w:rPr>
                                <w:rFonts w:asciiTheme="minorHAnsi" w:hAnsi="Calibri" w:cstheme="minorBidi"/>
                                <w:bCs/>
                                <w:color w:val="C00000"/>
                                <w:kern w:val="24"/>
                              </w:rPr>
                              <w:t>*</w:t>
                            </w:r>
                            <w:r w:rsidRPr="002312B3">
                              <w:rPr>
                                <w:rFonts w:ascii="Arial" w:hAnsi="Arial" w:cs="Arial"/>
                                <w:bCs/>
                                <w:color w:val="0A3776"/>
                                <w:kern w:val="24"/>
                              </w:rPr>
                              <w:t>Inklusive etwaiger Tilgungsanteile des Landes, die auf verkürztem Zahlungsweg direkt an das Gläubigerinstitut gezahlt werden.</w:t>
                            </w:r>
                          </w:p>
                          <w:p w14:paraId="612A83D0" w14:textId="77777777" w:rsidR="00F16479" w:rsidRPr="00583745" w:rsidRDefault="00F16479" w:rsidP="00FD390B">
                            <w:pPr>
                              <w:pStyle w:val="StandardWeb"/>
                              <w:spacing w:before="53" w:beforeAutospacing="0" w:after="0" w:afterAutospacing="0"/>
                              <w:textAlignment w:val="baseline"/>
                              <w:rPr>
                                <w:rFonts w:ascii="Arial" w:hAnsi="Arial" w:cs="Arial"/>
                                <w:sz w:val="22"/>
                              </w:rPr>
                            </w:pPr>
                            <w:r w:rsidRPr="002312B3">
                              <w:rPr>
                                <w:rFonts w:ascii="Arial" w:hAnsi="Arial" w:cs="Arial"/>
                                <w:bCs/>
                                <w:color w:val="C00000"/>
                                <w:kern w:val="24"/>
                              </w:rPr>
                              <w:t>**</w:t>
                            </w:r>
                            <w:r w:rsidRPr="002312B3">
                              <w:rPr>
                                <w:rFonts w:ascii="Arial" w:hAnsi="Arial" w:cs="Arial"/>
                                <w:bCs/>
                                <w:color w:val="0A3776"/>
                                <w:kern w:val="24"/>
                              </w:rPr>
                              <w:t>Sind nicht in der Vierteljährlichen Kassenstatistik zu melden, aber bei der Berechnung zu beachten!</w:t>
                            </w:r>
                          </w:p>
                        </w:txbxContent>
                      </wps:txbx>
                      <wps:bodyPr wrap="square" rtlCol="0">
                        <a:spAutoFit/>
                      </wps:bodyPr>
                    </wps:wsp>
                  </a:graphicData>
                </a:graphic>
              </wp:anchor>
            </w:drawing>
          </mc:Choice>
          <mc:Fallback>
            <w:pict>
              <v:shapetype w14:anchorId="4AE5B3CF" id="_x0000_t202" coordsize="21600,21600" o:spt="202" path="m,l,21600r21600,l21600,xe">
                <v:stroke joinstyle="miter"/>
                <v:path gradientshapeok="t" o:connecttype="rect"/>
              </v:shapetype>
              <v:shape id="Textfeld 7" o:spid="_x0000_s1026" type="#_x0000_t202" style="position:absolute;left:0;text-align:left;margin-left:61.8pt;margin-top:4.15pt;width:329.4pt;height:218.3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" filled="f" strokecolor="black [3213]" strokeweight="2.25pt">
                <v:textbox style="mso-fit-shape-to-text:t">
                  <w:txbxContent>
                    <w:p w14:paraId="559ACB62"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i/>
                          <w:iCs/>
                          <w:color w:val="C00000"/>
                          <w:kern w:val="24"/>
                        </w:rPr>
                        <w:t>Quartalsendstand des Vorquartals</w:t>
                      </w:r>
                    </w:p>
                    <w:p w14:paraId="2E7945BF"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w:t>
                      </w:r>
                      <w:r w:rsidRPr="002312B3">
                        <w:rPr>
                          <w:rFonts w:ascii="Arial" w:hAnsi="Arial" w:cs="Arial"/>
                          <w:b/>
                          <w:bCs/>
                          <w:color w:val="0A3776"/>
                          <w:kern w:val="24"/>
                        </w:rPr>
                        <w:t>valutagerechte</w:t>
                      </w:r>
                      <w:r w:rsidRPr="002312B3">
                        <w:rPr>
                          <w:rFonts w:ascii="Arial" w:hAnsi="Arial" w:cs="Arial"/>
                          <w:bCs/>
                          <w:color w:val="0A3776"/>
                          <w:kern w:val="24"/>
                        </w:rPr>
                        <w:t xml:space="preserve"> Kreditaufnahmen (Kto. 692x)</w:t>
                      </w:r>
                    </w:p>
                    <w:p w14:paraId="7D756D60"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sonst. </w:t>
                      </w:r>
                      <w:r w:rsidRPr="002312B3">
                        <w:rPr>
                          <w:rFonts w:ascii="Arial" w:hAnsi="Arial" w:cs="Arial"/>
                          <w:b/>
                          <w:bCs/>
                          <w:color w:val="0A3776"/>
                          <w:kern w:val="24"/>
                        </w:rPr>
                        <w:t>valutagerechte</w:t>
                      </w:r>
                      <w:r w:rsidRPr="002312B3">
                        <w:rPr>
                          <w:rFonts w:ascii="Arial" w:hAnsi="Arial" w:cs="Arial"/>
                          <w:bCs/>
                          <w:color w:val="0A3776"/>
                          <w:kern w:val="24"/>
                        </w:rPr>
                        <w:t xml:space="preserve"> Zugänge</w:t>
                      </w:r>
                      <w:r w:rsidRPr="002312B3">
                        <w:rPr>
                          <w:rFonts w:ascii="Arial" w:hAnsi="Arial" w:cs="Arial"/>
                          <w:bCs/>
                          <w:color w:val="C00000"/>
                          <w:kern w:val="24"/>
                        </w:rPr>
                        <w:t>**</w:t>
                      </w:r>
                    </w:p>
                    <w:p w14:paraId="1CF1F689"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rPr>
                        <w:t xml:space="preserve">./. </w:t>
                      </w:r>
                      <w:r w:rsidRPr="002312B3">
                        <w:rPr>
                          <w:rFonts w:ascii="Arial" w:hAnsi="Arial" w:cs="Arial"/>
                          <w:b/>
                          <w:bCs/>
                          <w:color w:val="0A3776"/>
                          <w:kern w:val="24"/>
                        </w:rPr>
                        <w:t>valutagerechte</w:t>
                      </w:r>
                      <w:r w:rsidRPr="002312B3">
                        <w:rPr>
                          <w:rFonts w:ascii="Arial" w:hAnsi="Arial" w:cs="Arial"/>
                          <w:bCs/>
                          <w:color w:val="0A3776"/>
                          <w:kern w:val="24"/>
                        </w:rPr>
                        <w:t xml:space="preserve"> Kredittilgungen</w:t>
                      </w:r>
                      <w:r w:rsidRPr="002312B3">
                        <w:rPr>
                          <w:rFonts w:ascii="Arial" w:hAnsi="Arial" w:cs="Arial"/>
                          <w:bCs/>
                          <w:color w:val="C00000"/>
                          <w:kern w:val="24"/>
                        </w:rPr>
                        <w:t>*</w:t>
                      </w:r>
                      <w:r w:rsidRPr="002312B3">
                        <w:rPr>
                          <w:rFonts w:ascii="Arial" w:hAnsi="Arial" w:cs="Arial"/>
                          <w:bCs/>
                          <w:color w:val="0A3776"/>
                          <w:kern w:val="24"/>
                        </w:rPr>
                        <w:t xml:space="preserve"> (Kto. 792x)</w:t>
                      </w:r>
                    </w:p>
                    <w:p w14:paraId="098BA696" w14:textId="77777777" w:rsidR="00F16479" w:rsidRPr="002312B3" w:rsidRDefault="00F16479" w:rsidP="00FD390B">
                      <w:pPr>
                        <w:pStyle w:val="StandardWeb"/>
                        <w:spacing w:before="67" w:beforeAutospacing="0" w:after="0" w:afterAutospacing="0"/>
                        <w:textAlignment w:val="baseline"/>
                        <w:rPr>
                          <w:rFonts w:ascii="Arial" w:hAnsi="Arial" w:cs="Arial"/>
                        </w:rPr>
                      </w:pPr>
                      <w:r w:rsidRPr="002312B3">
                        <w:rPr>
                          <w:rFonts w:ascii="Arial" w:hAnsi="Arial" w:cs="Arial"/>
                          <w:bCs/>
                          <w:color w:val="0A3776"/>
                          <w:kern w:val="24"/>
                          <w:u w:val="single"/>
                        </w:rPr>
                        <w:t xml:space="preserve">./. sonst. </w:t>
                      </w:r>
                      <w:r w:rsidRPr="002312B3">
                        <w:rPr>
                          <w:rFonts w:ascii="Arial" w:hAnsi="Arial" w:cs="Arial"/>
                          <w:b/>
                          <w:bCs/>
                          <w:color w:val="0A3776"/>
                          <w:kern w:val="24"/>
                          <w:u w:val="single"/>
                        </w:rPr>
                        <w:t>valutagerechte</w:t>
                      </w:r>
                      <w:r w:rsidRPr="002312B3">
                        <w:rPr>
                          <w:rFonts w:ascii="Arial" w:hAnsi="Arial" w:cs="Arial"/>
                          <w:bCs/>
                          <w:color w:val="0A3776"/>
                          <w:kern w:val="24"/>
                          <w:u w:val="single"/>
                        </w:rPr>
                        <w:t xml:space="preserve"> Abgänge</w:t>
                      </w:r>
                      <w:r w:rsidRPr="002312B3">
                        <w:rPr>
                          <w:rFonts w:ascii="Arial" w:hAnsi="Arial" w:cs="Arial"/>
                          <w:bCs/>
                          <w:color w:val="C00000"/>
                          <w:kern w:val="24"/>
                          <w:u w:val="single" w:color="0A3776"/>
                        </w:rPr>
                        <w:t>**</w:t>
                      </w:r>
                    </w:p>
                    <w:p w14:paraId="4D82808A" w14:textId="77777777" w:rsidR="00F16479" w:rsidRPr="002312B3" w:rsidRDefault="00F16479" w:rsidP="00FD390B">
                      <w:pPr>
                        <w:pStyle w:val="StandardWeb"/>
                        <w:spacing w:before="67" w:beforeAutospacing="0" w:after="0" w:afterAutospacing="0"/>
                        <w:textAlignment w:val="baseline"/>
                        <w:rPr>
                          <w:rFonts w:ascii="Arial" w:hAnsi="Arial" w:cs="Arial"/>
                          <w:bCs/>
                          <w:i/>
                          <w:iCs/>
                          <w:color w:val="C00000"/>
                          <w:kern w:val="24"/>
                        </w:rPr>
                      </w:pPr>
                      <w:r w:rsidRPr="002312B3">
                        <w:rPr>
                          <w:rFonts w:ascii="Arial" w:hAnsi="Arial" w:cs="Arial"/>
                          <w:bCs/>
                          <w:i/>
                          <w:iCs/>
                          <w:color w:val="C00000"/>
                          <w:kern w:val="24"/>
                        </w:rPr>
                        <w:t>Quartalsendstand des Meldequartals</w:t>
                      </w:r>
                    </w:p>
                    <w:p w14:paraId="228A02E1" w14:textId="77777777" w:rsidR="00F16479" w:rsidRPr="002312B3" w:rsidRDefault="00F16479" w:rsidP="00FD390B">
                      <w:pPr>
                        <w:pStyle w:val="StandardWeb"/>
                        <w:spacing w:before="67" w:beforeAutospacing="0" w:after="0" w:afterAutospacing="0"/>
                        <w:textAlignment w:val="baseline"/>
                        <w:rPr>
                          <w:rFonts w:ascii="Arial" w:hAnsi="Arial" w:cs="Arial"/>
                        </w:rPr>
                      </w:pPr>
                    </w:p>
                    <w:p w14:paraId="239D35ED" w14:textId="77777777" w:rsidR="00F16479" w:rsidRPr="002312B3" w:rsidRDefault="00F16479" w:rsidP="00FD390B">
                      <w:pPr>
                        <w:pStyle w:val="StandardWeb"/>
                        <w:spacing w:before="53" w:beforeAutospacing="0" w:after="0" w:afterAutospacing="0"/>
                        <w:textAlignment w:val="baseline"/>
                        <w:rPr>
                          <w:rFonts w:ascii="Arial" w:hAnsi="Arial" w:cs="Arial"/>
                        </w:rPr>
                      </w:pPr>
                      <w:r w:rsidRPr="002312B3">
                        <w:rPr>
                          <w:rFonts w:asciiTheme="minorHAnsi" w:hAnsi="Calibri" w:cstheme="minorBidi"/>
                          <w:bCs/>
                          <w:color w:val="C00000"/>
                          <w:kern w:val="24"/>
                        </w:rPr>
                        <w:t>*</w:t>
                      </w:r>
                      <w:r w:rsidRPr="002312B3">
                        <w:rPr>
                          <w:rFonts w:ascii="Arial" w:hAnsi="Arial" w:cs="Arial"/>
                          <w:bCs/>
                          <w:color w:val="0A3776"/>
                          <w:kern w:val="24"/>
                        </w:rPr>
                        <w:t>Inklusive etwaiger Tilgungsanteile des Landes, die auf verkürztem Zahlungsweg direkt an das Gläubigerinstitut gezahlt werden.</w:t>
                      </w:r>
                    </w:p>
                    <w:p w14:paraId="612A83D0" w14:textId="77777777" w:rsidR="00F16479" w:rsidRPr="00583745" w:rsidRDefault="00F16479" w:rsidP="00FD390B">
                      <w:pPr>
                        <w:pStyle w:val="StandardWeb"/>
                        <w:spacing w:before="53" w:beforeAutospacing="0" w:after="0" w:afterAutospacing="0"/>
                        <w:textAlignment w:val="baseline"/>
                        <w:rPr>
                          <w:rFonts w:ascii="Arial" w:hAnsi="Arial" w:cs="Arial"/>
                          <w:sz w:val="22"/>
                        </w:rPr>
                      </w:pPr>
                      <w:r w:rsidRPr="002312B3">
                        <w:rPr>
                          <w:rFonts w:ascii="Arial" w:hAnsi="Arial" w:cs="Arial"/>
                          <w:bCs/>
                          <w:color w:val="C00000"/>
                          <w:kern w:val="24"/>
                        </w:rPr>
                        <w:t>**</w:t>
                      </w:r>
                      <w:r w:rsidRPr="002312B3">
                        <w:rPr>
                          <w:rFonts w:ascii="Arial" w:hAnsi="Arial" w:cs="Arial"/>
                          <w:bCs/>
                          <w:color w:val="0A3776"/>
                          <w:kern w:val="24"/>
                        </w:rPr>
                        <w:t>Sind nicht in der Vierteljährlichen Kassenstatistik zu melden, aber bei der Berechnung zu beachten!</w:t>
                      </w:r>
                    </w:p>
                  </w:txbxContent>
                </v:textbox>
                <w10:wrap anchorx="margin"/>
              </v:shape>
            </w:pict>
          </mc:Fallback>
        </mc:AlternateContent>
      </w:r>
    </w:p>
    <w:p w14:paraId="35147CCE" w14:textId="77777777" w:rsidR="00FD390B" w:rsidRPr="00265A17" w:rsidRDefault="00FD390B" w:rsidP="00FD390B">
      <w:pPr>
        <w:pStyle w:val="Default"/>
        <w:spacing w:line="240" w:lineRule="atLeast"/>
        <w:jc w:val="both"/>
        <w:rPr>
          <w:rFonts w:ascii="Arial" w:hAnsi="Arial" w:cs="Arial"/>
          <w:sz w:val="20"/>
          <w:szCs w:val="22"/>
        </w:rPr>
      </w:pPr>
    </w:p>
    <w:p w14:paraId="6E04A98C" w14:textId="77777777" w:rsidR="00FD390B" w:rsidRPr="00265A17" w:rsidRDefault="00FD390B" w:rsidP="00FD390B">
      <w:pPr>
        <w:pStyle w:val="Default"/>
        <w:spacing w:line="240" w:lineRule="atLeast"/>
        <w:jc w:val="both"/>
        <w:rPr>
          <w:rFonts w:ascii="Arial" w:hAnsi="Arial" w:cs="Arial"/>
          <w:sz w:val="20"/>
          <w:szCs w:val="22"/>
        </w:rPr>
      </w:pPr>
    </w:p>
    <w:p w14:paraId="43E96156" w14:textId="77777777" w:rsidR="00FD390B" w:rsidRPr="00265A17" w:rsidRDefault="00FD390B" w:rsidP="00FD390B">
      <w:pPr>
        <w:pStyle w:val="Default"/>
        <w:spacing w:line="240" w:lineRule="atLeast"/>
        <w:jc w:val="both"/>
        <w:rPr>
          <w:rFonts w:ascii="Arial" w:hAnsi="Arial" w:cs="Arial"/>
          <w:sz w:val="20"/>
          <w:szCs w:val="22"/>
        </w:rPr>
      </w:pPr>
    </w:p>
    <w:p w14:paraId="6B47F549" w14:textId="77777777" w:rsidR="00FD390B" w:rsidRPr="00265A17" w:rsidRDefault="00FD390B" w:rsidP="00FD390B">
      <w:pPr>
        <w:pStyle w:val="Default"/>
        <w:spacing w:line="240" w:lineRule="atLeast"/>
        <w:jc w:val="both"/>
        <w:rPr>
          <w:rFonts w:ascii="Arial" w:hAnsi="Arial" w:cs="Arial"/>
          <w:sz w:val="20"/>
          <w:szCs w:val="22"/>
        </w:rPr>
      </w:pPr>
    </w:p>
    <w:p w14:paraId="4299D194" w14:textId="77777777" w:rsidR="00FD390B" w:rsidRPr="00265A17" w:rsidRDefault="00FD390B" w:rsidP="00FD390B">
      <w:pPr>
        <w:pStyle w:val="Default"/>
        <w:spacing w:line="240" w:lineRule="atLeast"/>
        <w:jc w:val="both"/>
        <w:rPr>
          <w:rFonts w:ascii="Arial" w:hAnsi="Arial" w:cs="Arial"/>
          <w:sz w:val="20"/>
          <w:szCs w:val="22"/>
        </w:rPr>
      </w:pPr>
    </w:p>
    <w:p w14:paraId="2209EF83" w14:textId="77777777" w:rsidR="00FD390B" w:rsidRPr="00265A17" w:rsidRDefault="00FD390B" w:rsidP="00FD390B">
      <w:pPr>
        <w:pStyle w:val="Default"/>
        <w:spacing w:line="240" w:lineRule="atLeast"/>
        <w:jc w:val="both"/>
        <w:rPr>
          <w:rFonts w:ascii="Arial" w:hAnsi="Arial" w:cs="Arial"/>
          <w:sz w:val="20"/>
          <w:szCs w:val="22"/>
        </w:rPr>
      </w:pPr>
    </w:p>
    <w:p w14:paraId="723638C6" w14:textId="77777777" w:rsidR="00FD390B" w:rsidRPr="00265A17" w:rsidRDefault="00FD390B" w:rsidP="00FD390B">
      <w:pPr>
        <w:pStyle w:val="Default"/>
        <w:spacing w:line="240" w:lineRule="atLeast"/>
        <w:jc w:val="both"/>
        <w:rPr>
          <w:rFonts w:ascii="Arial" w:hAnsi="Arial" w:cs="Arial"/>
          <w:sz w:val="20"/>
          <w:szCs w:val="22"/>
        </w:rPr>
      </w:pPr>
    </w:p>
    <w:p w14:paraId="252CE903" w14:textId="77777777" w:rsidR="00FD390B" w:rsidRPr="00265A17" w:rsidRDefault="00FD390B" w:rsidP="00FD390B">
      <w:pPr>
        <w:pStyle w:val="Default"/>
        <w:spacing w:line="240" w:lineRule="atLeast"/>
        <w:jc w:val="both"/>
        <w:rPr>
          <w:rFonts w:ascii="Arial" w:hAnsi="Arial" w:cs="Arial"/>
          <w:sz w:val="20"/>
          <w:szCs w:val="22"/>
        </w:rPr>
      </w:pPr>
    </w:p>
    <w:p w14:paraId="46F3CCEA" w14:textId="77777777" w:rsidR="00FD390B" w:rsidRPr="00265A17" w:rsidRDefault="00FD390B" w:rsidP="00FD390B">
      <w:pPr>
        <w:pStyle w:val="Default"/>
        <w:spacing w:line="240" w:lineRule="atLeast"/>
        <w:jc w:val="both"/>
        <w:rPr>
          <w:rFonts w:ascii="Arial" w:hAnsi="Arial" w:cs="Arial"/>
          <w:color w:val="auto"/>
          <w:sz w:val="20"/>
          <w:szCs w:val="22"/>
        </w:rPr>
      </w:pPr>
    </w:p>
    <w:p w14:paraId="12090906" w14:textId="77777777" w:rsidR="00FD390B" w:rsidRPr="00265A17" w:rsidRDefault="00FD390B" w:rsidP="00FD390B">
      <w:pPr>
        <w:pStyle w:val="Default"/>
        <w:spacing w:line="240" w:lineRule="atLeast"/>
        <w:jc w:val="both"/>
        <w:rPr>
          <w:rFonts w:ascii="Arial" w:hAnsi="Arial" w:cs="Arial"/>
          <w:color w:val="auto"/>
          <w:sz w:val="20"/>
          <w:szCs w:val="22"/>
        </w:rPr>
      </w:pPr>
    </w:p>
    <w:p w14:paraId="7FABE0C0" w14:textId="77777777" w:rsidR="00FD390B" w:rsidRPr="00265A17" w:rsidRDefault="00FD390B" w:rsidP="00FD390B">
      <w:pPr>
        <w:pStyle w:val="Default"/>
        <w:spacing w:line="240" w:lineRule="atLeast"/>
        <w:jc w:val="both"/>
        <w:rPr>
          <w:rFonts w:ascii="Arial" w:hAnsi="Arial" w:cs="Arial"/>
          <w:color w:val="auto"/>
          <w:sz w:val="20"/>
          <w:szCs w:val="22"/>
        </w:rPr>
      </w:pPr>
    </w:p>
    <w:p w14:paraId="7FDA2114" w14:textId="77777777" w:rsidR="00FD390B" w:rsidRPr="00265A17" w:rsidRDefault="00FD390B" w:rsidP="00FD390B">
      <w:pPr>
        <w:pStyle w:val="Default"/>
        <w:spacing w:line="240" w:lineRule="atLeast"/>
        <w:jc w:val="both"/>
        <w:rPr>
          <w:rFonts w:ascii="Arial" w:hAnsi="Arial" w:cs="Arial"/>
          <w:color w:val="auto"/>
          <w:sz w:val="20"/>
          <w:szCs w:val="22"/>
        </w:rPr>
      </w:pPr>
    </w:p>
    <w:p w14:paraId="6E33FBDE" w14:textId="77777777" w:rsidR="00FD390B" w:rsidRPr="00265A17" w:rsidRDefault="00FD390B" w:rsidP="00FD390B">
      <w:pPr>
        <w:pStyle w:val="Default"/>
        <w:spacing w:line="240" w:lineRule="atLeast"/>
        <w:jc w:val="both"/>
        <w:rPr>
          <w:rFonts w:ascii="Arial" w:hAnsi="Arial" w:cs="Arial"/>
          <w:color w:val="auto"/>
          <w:sz w:val="20"/>
          <w:szCs w:val="22"/>
        </w:rPr>
      </w:pPr>
    </w:p>
    <w:p w14:paraId="5B525A60" w14:textId="77777777" w:rsidR="00FD390B" w:rsidRPr="00265A17" w:rsidRDefault="00FD390B" w:rsidP="00FD390B">
      <w:pPr>
        <w:pStyle w:val="Default"/>
        <w:spacing w:line="240" w:lineRule="atLeast"/>
        <w:jc w:val="both"/>
        <w:rPr>
          <w:rFonts w:ascii="Arial" w:hAnsi="Arial" w:cs="Arial"/>
          <w:color w:val="auto"/>
          <w:sz w:val="20"/>
          <w:szCs w:val="22"/>
        </w:rPr>
      </w:pPr>
    </w:p>
    <w:p w14:paraId="0161EFEB" w14:textId="77777777" w:rsidR="00FD390B" w:rsidRPr="00265A17" w:rsidRDefault="00FD390B" w:rsidP="00FD390B">
      <w:pPr>
        <w:pStyle w:val="Default"/>
        <w:spacing w:line="240" w:lineRule="atLeast"/>
        <w:jc w:val="both"/>
        <w:rPr>
          <w:rFonts w:ascii="Arial" w:hAnsi="Arial" w:cs="Arial"/>
          <w:color w:val="auto"/>
          <w:sz w:val="20"/>
          <w:szCs w:val="22"/>
        </w:rPr>
      </w:pPr>
    </w:p>
    <w:p w14:paraId="701B9203" w14:textId="77777777" w:rsidR="002312B3" w:rsidRPr="00265A17" w:rsidRDefault="002312B3" w:rsidP="00FD390B">
      <w:pPr>
        <w:rPr>
          <w:rFonts w:ascii="Arial" w:hAnsi="Arial" w:cs="Arial"/>
          <w:sz w:val="20"/>
        </w:rPr>
      </w:pPr>
    </w:p>
    <w:p w14:paraId="28E32627" w14:textId="77777777" w:rsidR="002312B3" w:rsidRPr="00265A17" w:rsidRDefault="002312B3" w:rsidP="00FD390B">
      <w:pPr>
        <w:rPr>
          <w:rFonts w:ascii="Arial" w:hAnsi="Arial" w:cs="Arial"/>
          <w:sz w:val="20"/>
        </w:rPr>
      </w:pPr>
    </w:p>
    <w:p w14:paraId="435C8007" w14:textId="6EFE0E1E" w:rsidR="00FD390B" w:rsidRPr="00265A17" w:rsidRDefault="003F60E5" w:rsidP="00FD390B">
      <w:pPr>
        <w:rPr>
          <w:rFonts w:ascii="Arial" w:hAnsi="Arial" w:cs="Arial"/>
        </w:rPr>
      </w:pPr>
      <w:r>
        <w:rPr>
          <w:rFonts w:ascii="Arial" w:hAnsi="Arial" w:cs="Arial"/>
        </w:rPr>
        <w:t>Bei</w:t>
      </w:r>
      <w:r w:rsidR="00FD390B" w:rsidRPr="00265A17">
        <w:rPr>
          <w:rFonts w:ascii="Arial" w:hAnsi="Arial" w:cs="Arial"/>
        </w:rPr>
        <w:t xml:space="preserve"> den Quartalsendständen der Verbindlichkeiten aus Krediten zur Liquiditätssicherung (sog</w:t>
      </w:r>
      <w:r w:rsidR="00B41FFC" w:rsidRPr="00265A17">
        <w:rPr>
          <w:rFonts w:ascii="Arial" w:hAnsi="Arial" w:cs="Arial"/>
        </w:rPr>
        <w:t>enannte</w:t>
      </w:r>
      <w:r w:rsidR="00FD390B" w:rsidRPr="00265A17">
        <w:rPr>
          <w:rFonts w:ascii="Arial" w:hAnsi="Arial" w:cs="Arial"/>
        </w:rPr>
        <w:t xml:space="preserve"> Kassenkredite) ist darauf zu achten, dass nur der tatsächlich in Anspruch genommene Betrag zum Ende des Quartals und nicht der genehmigte Kreditrahmen gemeldet wird. Auch Kontokorrentkredite sind den Kassenkrediten zuzuordnen und dürfen im Rahmen der </w:t>
      </w:r>
      <w:r w:rsidR="00C22A1C">
        <w:rPr>
          <w:rFonts w:ascii="Arial" w:hAnsi="Arial" w:cs="Arial"/>
        </w:rPr>
        <w:t>F</w:t>
      </w:r>
      <w:r w:rsidR="00FD390B" w:rsidRPr="00265A17">
        <w:rPr>
          <w:rFonts w:ascii="Arial" w:hAnsi="Arial" w:cs="Arial"/>
        </w:rPr>
        <w:t>inanziellen Transaktionen nicht mit dem Bestand an Bargeld und Sichteinlagen (Merkmale T110 und T120) verrechnet werden!</w:t>
      </w:r>
    </w:p>
    <w:p w14:paraId="4187DE47" w14:textId="60FAF95A" w:rsidR="00FD390B" w:rsidRDefault="00FD390B">
      <w:pPr>
        <w:spacing w:after="160" w:line="259" w:lineRule="auto"/>
        <w:rPr>
          <w:rFonts w:ascii="Arial" w:hAnsi="Arial" w:cs="Arial"/>
        </w:rPr>
      </w:pPr>
      <w:r>
        <w:rPr>
          <w:rFonts w:ascii="Arial" w:hAnsi="Arial" w:cs="Arial"/>
        </w:rPr>
        <w:br w:type="page"/>
      </w:r>
    </w:p>
    <w:p w14:paraId="173CDEDE" w14:textId="2C900F97" w:rsidR="00FD390B" w:rsidRDefault="00FD390B" w:rsidP="00FD390B">
      <w:pPr>
        <w:pStyle w:val="berschrift1"/>
        <w:spacing w:before="0" w:line="240" w:lineRule="atLeast"/>
        <w:jc w:val="center"/>
        <w:rPr>
          <w:rFonts w:ascii="Arial" w:hAnsi="Arial" w:cs="Arial"/>
          <w:b/>
          <w:color w:val="0A3776"/>
          <w:szCs w:val="26"/>
        </w:rPr>
      </w:pPr>
      <w:bookmarkStart w:id="23" w:name="_Toc163114796"/>
      <w:r>
        <w:rPr>
          <w:rFonts w:ascii="Arial" w:hAnsi="Arial" w:cs="Arial"/>
          <w:b/>
          <w:color w:val="0A3776"/>
          <w:szCs w:val="26"/>
        </w:rPr>
        <w:lastRenderedPageBreak/>
        <w:t>6 Hinweis</w:t>
      </w:r>
      <w:r w:rsidR="00BA6D1A">
        <w:rPr>
          <w:rFonts w:ascii="Arial" w:hAnsi="Arial" w:cs="Arial"/>
          <w:b/>
          <w:color w:val="0A3776"/>
          <w:szCs w:val="26"/>
        </w:rPr>
        <w:t>e</w:t>
      </w:r>
      <w:r>
        <w:rPr>
          <w:rFonts w:ascii="Arial" w:hAnsi="Arial" w:cs="Arial"/>
          <w:b/>
          <w:color w:val="0A3776"/>
          <w:szCs w:val="26"/>
        </w:rPr>
        <w:t xml:space="preserve"> zu den Finanziellen Transaktionen</w:t>
      </w:r>
      <w:bookmarkEnd w:id="23"/>
    </w:p>
    <w:p w14:paraId="3B35F720" w14:textId="77777777" w:rsidR="00FD390B" w:rsidRDefault="00FD390B" w:rsidP="00FD390B">
      <w:pPr>
        <w:spacing w:line="240" w:lineRule="atLeast"/>
        <w:rPr>
          <w:rFonts w:ascii="Arial" w:hAnsi="Arial" w:cs="Arial"/>
        </w:rPr>
      </w:pPr>
    </w:p>
    <w:p w14:paraId="27DA92F5" w14:textId="10780BC7" w:rsidR="00F16479" w:rsidRPr="00F16479" w:rsidRDefault="00F16479" w:rsidP="00F16479">
      <w:pPr>
        <w:spacing w:line="240" w:lineRule="atLeast"/>
        <w:rPr>
          <w:rFonts w:ascii="Arial" w:hAnsi="Arial" w:cs="Arial"/>
        </w:rPr>
      </w:pPr>
      <w:r w:rsidRPr="00941BAF">
        <w:rPr>
          <w:rFonts w:ascii="Arial" w:hAnsi="Arial" w:cs="Arial"/>
          <w:b/>
          <w:color w:val="FF0000"/>
        </w:rPr>
        <w:t>ACHTUNG NEU</w:t>
      </w:r>
      <w:r w:rsidRPr="00F16479">
        <w:rPr>
          <w:rFonts w:ascii="Arial" w:hAnsi="Arial" w:cs="Arial"/>
        </w:rPr>
        <w:t>: Ab dem 01</w:t>
      </w:r>
      <w:r w:rsidR="00C22A1C">
        <w:rPr>
          <w:rFonts w:ascii="Arial" w:hAnsi="Arial" w:cs="Arial"/>
        </w:rPr>
        <w:t>. Quartal 2025 wird es bei den F</w:t>
      </w:r>
      <w:r w:rsidRPr="00F16479">
        <w:rPr>
          <w:rFonts w:ascii="Arial" w:hAnsi="Arial" w:cs="Arial"/>
        </w:rPr>
        <w:t xml:space="preserve">inanziellen Transaktionen für das Cash-Pooling folgende neue Codes geben:  </w:t>
      </w:r>
    </w:p>
    <w:p w14:paraId="07447F93" w14:textId="77777777" w:rsidR="00F16479" w:rsidRPr="00F16479" w:rsidRDefault="00F16479" w:rsidP="00F16479">
      <w:pPr>
        <w:spacing w:line="240" w:lineRule="atLeast"/>
        <w:rPr>
          <w:rFonts w:ascii="Arial" w:hAnsi="Arial" w:cs="Arial"/>
        </w:rPr>
      </w:pPr>
    </w:p>
    <w:tbl>
      <w:tblPr>
        <w:tblW w:w="8320" w:type="dxa"/>
        <w:tblCellMar>
          <w:left w:w="70" w:type="dxa"/>
          <w:right w:w="70" w:type="dxa"/>
        </w:tblCellMar>
        <w:tblLook w:val="04A0" w:firstRow="1" w:lastRow="0" w:firstColumn="1" w:lastColumn="0" w:noHBand="0" w:noVBand="1"/>
      </w:tblPr>
      <w:tblGrid>
        <w:gridCol w:w="7240"/>
        <w:gridCol w:w="1080"/>
      </w:tblGrid>
      <w:tr w:rsidR="00F16479" w:rsidRPr="00F16479" w14:paraId="2302F804" w14:textId="77777777" w:rsidTr="00F16479">
        <w:trPr>
          <w:trHeight w:val="300"/>
        </w:trPr>
        <w:tc>
          <w:tcPr>
            <w:tcW w:w="7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DED137" w14:textId="77777777" w:rsidR="00F16479" w:rsidRPr="00F16479" w:rsidRDefault="00F16479" w:rsidP="00F16479">
            <w:pPr>
              <w:spacing w:line="240" w:lineRule="atLeast"/>
              <w:rPr>
                <w:rFonts w:ascii="Arial" w:hAnsi="Arial" w:cs="Arial"/>
                <w:b/>
                <w:bCs/>
                <w:i/>
              </w:rPr>
            </w:pPr>
            <w:r w:rsidRPr="00F16479">
              <w:rPr>
                <w:rFonts w:ascii="Arial" w:hAnsi="Arial" w:cs="Arial"/>
                <w:b/>
                <w:bCs/>
                <w:i/>
                <w:color w:val="5B9BD5" w:themeColor="accent1"/>
              </w:rPr>
              <w:t>Cash-Pooling (u.a. Einheitskasse, Amtskasse)</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40D0845" w14:textId="77777777" w:rsidR="00F16479" w:rsidRPr="00F16479" w:rsidRDefault="00F16479" w:rsidP="00F16479">
            <w:pPr>
              <w:spacing w:line="240" w:lineRule="atLeast"/>
              <w:rPr>
                <w:rFonts w:ascii="Arial" w:hAnsi="Arial" w:cs="Arial"/>
              </w:rPr>
            </w:pPr>
            <w:r w:rsidRPr="00F16479">
              <w:rPr>
                <w:rFonts w:ascii="Arial" w:hAnsi="Arial" w:cs="Arial"/>
              </w:rPr>
              <w:t> </w:t>
            </w:r>
          </w:p>
        </w:tc>
      </w:tr>
      <w:tr w:rsidR="00F16479" w:rsidRPr="00F16479" w14:paraId="300C6F1E"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43F166BA" w14:textId="77777777" w:rsidR="00F16479" w:rsidRPr="00F16479" w:rsidRDefault="00F16479" w:rsidP="00F16479">
            <w:pPr>
              <w:spacing w:line="240" w:lineRule="atLeast"/>
              <w:rPr>
                <w:rFonts w:ascii="Arial" w:hAnsi="Arial" w:cs="Arial"/>
                <w:b/>
                <w:bCs/>
                <w:i/>
              </w:rPr>
            </w:pPr>
            <w:r w:rsidRPr="00F16479">
              <w:rPr>
                <w:rFonts w:ascii="Arial" w:hAnsi="Arial" w:cs="Arial"/>
                <w:b/>
                <w:bCs/>
                <w:i/>
                <w:color w:val="5B9BD5" w:themeColor="accent1"/>
              </w:rPr>
              <w:t>Cash-Pool-Führer (CF): Forderungsbestand zum Quartalsende</w:t>
            </w:r>
          </w:p>
        </w:tc>
        <w:tc>
          <w:tcPr>
            <w:tcW w:w="1080" w:type="dxa"/>
            <w:tcBorders>
              <w:top w:val="nil"/>
              <w:left w:val="nil"/>
              <w:bottom w:val="single" w:sz="4" w:space="0" w:color="auto"/>
              <w:right w:val="single" w:sz="4" w:space="0" w:color="auto"/>
            </w:tcBorders>
            <w:shd w:val="clear" w:color="000000" w:fill="FFFFFF"/>
            <w:vAlign w:val="center"/>
            <w:hideMark/>
          </w:tcPr>
          <w:p w14:paraId="1EFECD08" w14:textId="77777777" w:rsidR="00F16479" w:rsidRPr="00F16479" w:rsidRDefault="00F16479" w:rsidP="00F16479">
            <w:pPr>
              <w:spacing w:line="240" w:lineRule="atLeast"/>
              <w:rPr>
                <w:rFonts w:ascii="Arial" w:hAnsi="Arial" w:cs="Arial"/>
                <w:b/>
                <w:bCs/>
              </w:rPr>
            </w:pPr>
            <w:r w:rsidRPr="00F16479">
              <w:rPr>
                <w:rFonts w:ascii="Arial" w:hAnsi="Arial" w:cs="Arial"/>
                <w:b/>
                <w:bCs/>
              </w:rPr>
              <w:t>T410</w:t>
            </w:r>
            <w:r w:rsidRPr="00F16479">
              <w:rPr>
                <w:rFonts w:ascii="Arial" w:hAnsi="Arial" w:cs="Arial"/>
                <w:b/>
                <w:bCs/>
                <w:color w:val="5B9BD5" w:themeColor="accent1"/>
              </w:rPr>
              <w:t>1</w:t>
            </w:r>
          </w:p>
        </w:tc>
      </w:tr>
      <w:tr w:rsidR="00F16479" w:rsidRPr="00F16479" w14:paraId="5B4F7318"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680FA91D" w14:textId="77777777" w:rsidR="00F16479" w:rsidRPr="00F16479" w:rsidRDefault="00F16479" w:rsidP="00F16479">
            <w:pPr>
              <w:spacing w:line="240" w:lineRule="atLeast"/>
              <w:rPr>
                <w:rFonts w:ascii="Arial" w:hAnsi="Arial" w:cs="Arial"/>
              </w:rPr>
            </w:pPr>
            <w:r w:rsidRPr="00F16479">
              <w:rPr>
                <w:rFonts w:ascii="Arial" w:hAnsi="Arial" w:cs="Arial"/>
              </w:rPr>
              <w:t>darunter: beim Bund</w:t>
            </w:r>
          </w:p>
        </w:tc>
        <w:tc>
          <w:tcPr>
            <w:tcW w:w="1080" w:type="dxa"/>
            <w:tcBorders>
              <w:top w:val="nil"/>
              <w:left w:val="nil"/>
              <w:bottom w:val="single" w:sz="4" w:space="0" w:color="auto"/>
              <w:right w:val="single" w:sz="4" w:space="0" w:color="auto"/>
            </w:tcBorders>
            <w:shd w:val="clear" w:color="000000" w:fill="FFFFFF"/>
            <w:vAlign w:val="center"/>
            <w:hideMark/>
          </w:tcPr>
          <w:p w14:paraId="3BD7A7DC" w14:textId="77777777" w:rsidR="00F16479" w:rsidRPr="00F16479" w:rsidRDefault="00F16479" w:rsidP="00F16479">
            <w:pPr>
              <w:spacing w:line="240" w:lineRule="atLeast"/>
              <w:rPr>
                <w:rFonts w:ascii="Arial" w:hAnsi="Arial" w:cs="Arial"/>
              </w:rPr>
            </w:pPr>
            <w:r w:rsidRPr="00F16479">
              <w:rPr>
                <w:rFonts w:ascii="Arial" w:hAnsi="Arial" w:cs="Arial"/>
              </w:rPr>
              <w:t>T413</w:t>
            </w:r>
            <w:r w:rsidRPr="00F16479">
              <w:rPr>
                <w:rFonts w:ascii="Arial" w:hAnsi="Arial" w:cs="Arial"/>
                <w:color w:val="5B9BD5" w:themeColor="accent1"/>
              </w:rPr>
              <w:t>1</w:t>
            </w:r>
          </w:p>
        </w:tc>
      </w:tr>
      <w:tr w:rsidR="00F16479" w:rsidRPr="00F16479" w14:paraId="07779941"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11FF4733" w14:textId="77777777" w:rsidR="00F16479" w:rsidRPr="00F16479" w:rsidRDefault="00F16479" w:rsidP="00F16479">
            <w:pPr>
              <w:spacing w:line="240" w:lineRule="atLeast"/>
              <w:rPr>
                <w:rFonts w:ascii="Arial" w:hAnsi="Arial" w:cs="Arial"/>
              </w:rPr>
            </w:pPr>
            <w:r w:rsidRPr="00F16479">
              <w:rPr>
                <w:rFonts w:ascii="Arial" w:hAnsi="Arial" w:cs="Arial"/>
              </w:rPr>
              <w:t>darunter: bei Ländern</w:t>
            </w:r>
          </w:p>
        </w:tc>
        <w:tc>
          <w:tcPr>
            <w:tcW w:w="1080" w:type="dxa"/>
            <w:tcBorders>
              <w:top w:val="nil"/>
              <w:left w:val="nil"/>
              <w:bottom w:val="single" w:sz="4" w:space="0" w:color="auto"/>
              <w:right w:val="single" w:sz="4" w:space="0" w:color="auto"/>
            </w:tcBorders>
            <w:shd w:val="clear" w:color="000000" w:fill="FFFFFF"/>
            <w:vAlign w:val="center"/>
            <w:hideMark/>
          </w:tcPr>
          <w:p w14:paraId="095B1D16" w14:textId="77777777" w:rsidR="00F16479" w:rsidRPr="00F16479" w:rsidRDefault="00F16479" w:rsidP="00F16479">
            <w:pPr>
              <w:spacing w:line="240" w:lineRule="atLeast"/>
              <w:rPr>
                <w:rFonts w:ascii="Arial" w:hAnsi="Arial" w:cs="Arial"/>
              </w:rPr>
            </w:pPr>
            <w:r w:rsidRPr="00F16479">
              <w:rPr>
                <w:rFonts w:ascii="Arial" w:hAnsi="Arial" w:cs="Arial"/>
              </w:rPr>
              <w:t>T414</w:t>
            </w:r>
            <w:r w:rsidRPr="00F16479">
              <w:rPr>
                <w:rFonts w:ascii="Arial" w:hAnsi="Arial" w:cs="Arial"/>
                <w:color w:val="5B9BD5" w:themeColor="accent1"/>
              </w:rPr>
              <w:t>1</w:t>
            </w:r>
          </w:p>
        </w:tc>
      </w:tr>
      <w:tr w:rsidR="00F16479" w:rsidRPr="00F16479" w14:paraId="5BCED35D"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123F184D" w14:textId="77777777" w:rsidR="00F16479" w:rsidRPr="00F16479" w:rsidRDefault="00F16479" w:rsidP="00F16479">
            <w:pPr>
              <w:spacing w:line="240" w:lineRule="atLeast"/>
              <w:rPr>
                <w:rFonts w:ascii="Arial" w:hAnsi="Arial" w:cs="Arial"/>
              </w:rPr>
            </w:pPr>
            <w:r w:rsidRPr="00F16479">
              <w:rPr>
                <w:rFonts w:ascii="Arial" w:hAnsi="Arial" w:cs="Arial"/>
              </w:rPr>
              <w:t>darunter: bei Gemeinden/Gv.</w:t>
            </w:r>
          </w:p>
        </w:tc>
        <w:tc>
          <w:tcPr>
            <w:tcW w:w="1080" w:type="dxa"/>
            <w:tcBorders>
              <w:top w:val="nil"/>
              <w:left w:val="nil"/>
              <w:bottom w:val="single" w:sz="4" w:space="0" w:color="auto"/>
              <w:right w:val="single" w:sz="4" w:space="0" w:color="auto"/>
            </w:tcBorders>
            <w:shd w:val="clear" w:color="000000" w:fill="FFFFFF"/>
            <w:vAlign w:val="center"/>
            <w:hideMark/>
          </w:tcPr>
          <w:p w14:paraId="1993F29B" w14:textId="77777777" w:rsidR="00F16479" w:rsidRPr="00F16479" w:rsidRDefault="00F16479" w:rsidP="00F16479">
            <w:pPr>
              <w:spacing w:line="240" w:lineRule="atLeast"/>
              <w:rPr>
                <w:rFonts w:ascii="Arial" w:hAnsi="Arial" w:cs="Arial"/>
              </w:rPr>
            </w:pPr>
            <w:r w:rsidRPr="00F16479">
              <w:rPr>
                <w:rFonts w:ascii="Arial" w:hAnsi="Arial" w:cs="Arial"/>
              </w:rPr>
              <w:t>T415</w:t>
            </w:r>
            <w:r w:rsidRPr="00F16479">
              <w:rPr>
                <w:rFonts w:ascii="Arial" w:hAnsi="Arial" w:cs="Arial"/>
                <w:color w:val="5B9BD5" w:themeColor="accent1"/>
              </w:rPr>
              <w:t>1</w:t>
            </w:r>
          </w:p>
        </w:tc>
      </w:tr>
      <w:tr w:rsidR="00F16479" w:rsidRPr="00F16479" w14:paraId="3DE0FE90"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288F7353" w14:textId="77777777" w:rsidR="00F16479" w:rsidRPr="00F16479" w:rsidRDefault="00F16479" w:rsidP="00F16479">
            <w:pPr>
              <w:spacing w:line="240" w:lineRule="atLeast"/>
              <w:rPr>
                <w:rFonts w:ascii="Arial" w:hAnsi="Arial" w:cs="Arial"/>
              </w:rPr>
            </w:pPr>
            <w:r w:rsidRPr="00F16479">
              <w:rPr>
                <w:rFonts w:ascii="Arial" w:hAnsi="Arial" w:cs="Arial"/>
              </w:rPr>
              <w:t>darunter: bei Zweckverbänden und dergleichen</w:t>
            </w:r>
          </w:p>
        </w:tc>
        <w:tc>
          <w:tcPr>
            <w:tcW w:w="1080" w:type="dxa"/>
            <w:tcBorders>
              <w:top w:val="nil"/>
              <w:left w:val="nil"/>
              <w:bottom w:val="single" w:sz="4" w:space="0" w:color="auto"/>
              <w:right w:val="single" w:sz="4" w:space="0" w:color="auto"/>
            </w:tcBorders>
            <w:shd w:val="clear" w:color="000000" w:fill="FFFFFF"/>
            <w:vAlign w:val="center"/>
            <w:hideMark/>
          </w:tcPr>
          <w:p w14:paraId="2247F725" w14:textId="77777777" w:rsidR="00F16479" w:rsidRPr="00F16479" w:rsidRDefault="00F16479" w:rsidP="00F16479">
            <w:pPr>
              <w:spacing w:line="240" w:lineRule="atLeast"/>
              <w:rPr>
                <w:rFonts w:ascii="Arial" w:hAnsi="Arial" w:cs="Arial"/>
              </w:rPr>
            </w:pPr>
            <w:r w:rsidRPr="00F16479">
              <w:rPr>
                <w:rFonts w:ascii="Arial" w:hAnsi="Arial" w:cs="Arial"/>
              </w:rPr>
              <w:t>T416</w:t>
            </w:r>
            <w:r w:rsidRPr="00F16479">
              <w:rPr>
                <w:rFonts w:ascii="Arial" w:hAnsi="Arial" w:cs="Arial"/>
                <w:color w:val="5B9BD5" w:themeColor="accent1"/>
              </w:rPr>
              <w:t>1</w:t>
            </w:r>
          </w:p>
        </w:tc>
      </w:tr>
      <w:tr w:rsidR="00F16479" w:rsidRPr="00F16479" w14:paraId="1BFE21D7"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B92B605" w14:textId="77777777" w:rsidR="00F16479" w:rsidRPr="00F16479" w:rsidRDefault="00F16479" w:rsidP="00F16479">
            <w:pPr>
              <w:spacing w:line="240" w:lineRule="atLeast"/>
              <w:rPr>
                <w:rFonts w:ascii="Arial" w:hAnsi="Arial" w:cs="Arial"/>
              </w:rPr>
            </w:pPr>
            <w:r w:rsidRPr="00F16479">
              <w:rPr>
                <w:rFonts w:ascii="Arial" w:hAnsi="Arial" w:cs="Arial"/>
              </w:rPr>
              <w:t>darunter: bei der gesetzlichen Sozialversicherung</w:t>
            </w:r>
          </w:p>
        </w:tc>
        <w:tc>
          <w:tcPr>
            <w:tcW w:w="1080" w:type="dxa"/>
            <w:tcBorders>
              <w:top w:val="nil"/>
              <w:left w:val="nil"/>
              <w:bottom w:val="single" w:sz="4" w:space="0" w:color="auto"/>
              <w:right w:val="single" w:sz="4" w:space="0" w:color="auto"/>
            </w:tcBorders>
            <w:shd w:val="clear" w:color="000000" w:fill="FFFFFF"/>
            <w:vAlign w:val="center"/>
            <w:hideMark/>
          </w:tcPr>
          <w:p w14:paraId="465DEA9B" w14:textId="77777777" w:rsidR="00F16479" w:rsidRPr="00F16479" w:rsidRDefault="00F16479" w:rsidP="00F16479">
            <w:pPr>
              <w:spacing w:line="240" w:lineRule="atLeast"/>
              <w:rPr>
                <w:rFonts w:ascii="Arial" w:hAnsi="Arial" w:cs="Arial"/>
              </w:rPr>
            </w:pPr>
            <w:r w:rsidRPr="00F16479">
              <w:rPr>
                <w:rFonts w:ascii="Arial" w:hAnsi="Arial" w:cs="Arial"/>
              </w:rPr>
              <w:t>T417</w:t>
            </w:r>
            <w:r w:rsidRPr="00F16479">
              <w:rPr>
                <w:rFonts w:ascii="Arial" w:hAnsi="Arial" w:cs="Arial"/>
                <w:color w:val="5B9BD5" w:themeColor="accent1"/>
              </w:rPr>
              <w:t>1</w:t>
            </w:r>
          </w:p>
        </w:tc>
      </w:tr>
      <w:tr w:rsidR="00F16479" w:rsidRPr="00F16479" w14:paraId="6F443A0C"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F64ED4C" w14:textId="77777777" w:rsidR="00F16479" w:rsidRPr="00F16479" w:rsidRDefault="00F16479" w:rsidP="00F16479">
            <w:pPr>
              <w:spacing w:line="240" w:lineRule="atLeast"/>
              <w:rPr>
                <w:rFonts w:ascii="Arial" w:hAnsi="Arial" w:cs="Arial"/>
              </w:rPr>
            </w:pPr>
            <w:r w:rsidRPr="00F16479">
              <w:rPr>
                <w:rFonts w:ascii="Arial" w:hAnsi="Arial" w:cs="Arial"/>
              </w:rPr>
              <w:t>darunter: bei verbundenen Unternehmen, Beteiligungen</w:t>
            </w:r>
          </w:p>
        </w:tc>
        <w:tc>
          <w:tcPr>
            <w:tcW w:w="1080" w:type="dxa"/>
            <w:tcBorders>
              <w:top w:val="nil"/>
              <w:left w:val="nil"/>
              <w:bottom w:val="single" w:sz="4" w:space="0" w:color="auto"/>
              <w:right w:val="single" w:sz="4" w:space="0" w:color="auto"/>
            </w:tcBorders>
            <w:shd w:val="clear" w:color="000000" w:fill="FFFFFF"/>
            <w:vAlign w:val="center"/>
            <w:hideMark/>
          </w:tcPr>
          <w:p w14:paraId="5DF085A7" w14:textId="77777777" w:rsidR="00F16479" w:rsidRPr="00F16479" w:rsidRDefault="00F16479" w:rsidP="00F16479">
            <w:pPr>
              <w:spacing w:line="240" w:lineRule="atLeast"/>
              <w:rPr>
                <w:rFonts w:ascii="Arial" w:hAnsi="Arial" w:cs="Arial"/>
              </w:rPr>
            </w:pPr>
            <w:r w:rsidRPr="00F16479">
              <w:rPr>
                <w:rFonts w:ascii="Arial" w:hAnsi="Arial" w:cs="Arial"/>
              </w:rPr>
              <w:t>T418</w:t>
            </w:r>
            <w:r w:rsidRPr="00F16479">
              <w:rPr>
                <w:rFonts w:ascii="Arial" w:hAnsi="Arial" w:cs="Arial"/>
                <w:color w:val="5B9BD5" w:themeColor="accent1"/>
              </w:rPr>
              <w:t>1</w:t>
            </w:r>
          </w:p>
        </w:tc>
      </w:tr>
      <w:tr w:rsidR="00F16479" w:rsidRPr="00F16479" w14:paraId="27517A42"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2773CB28" w14:textId="77777777" w:rsidR="00F16479" w:rsidRPr="00F16479" w:rsidRDefault="00F16479" w:rsidP="00F16479">
            <w:pPr>
              <w:spacing w:line="240" w:lineRule="atLeast"/>
              <w:rPr>
                <w:rFonts w:ascii="Arial" w:hAnsi="Arial" w:cs="Arial"/>
              </w:rPr>
            </w:pPr>
            <w:r w:rsidRPr="00F16479">
              <w:rPr>
                <w:rFonts w:ascii="Arial" w:hAnsi="Arial" w:cs="Arial"/>
              </w:rPr>
              <w:t>darunter: bei sonstigen öffentlichen Sonderrechnungen</w:t>
            </w:r>
          </w:p>
        </w:tc>
        <w:tc>
          <w:tcPr>
            <w:tcW w:w="1080" w:type="dxa"/>
            <w:tcBorders>
              <w:top w:val="nil"/>
              <w:left w:val="nil"/>
              <w:bottom w:val="single" w:sz="4" w:space="0" w:color="auto"/>
              <w:right w:val="single" w:sz="4" w:space="0" w:color="auto"/>
            </w:tcBorders>
            <w:shd w:val="clear" w:color="000000" w:fill="FFFFFF"/>
            <w:vAlign w:val="center"/>
            <w:hideMark/>
          </w:tcPr>
          <w:p w14:paraId="20458D7B" w14:textId="77777777" w:rsidR="00F16479" w:rsidRPr="00F16479" w:rsidRDefault="00F16479" w:rsidP="00F16479">
            <w:pPr>
              <w:spacing w:line="240" w:lineRule="atLeast"/>
              <w:rPr>
                <w:rFonts w:ascii="Arial" w:hAnsi="Arial" w:cs="Arial"/>
              </w:rPr>
            </w:pPr>
            <w:r w:rsidRPr="00F16479">
              <w:rPr>
                <w:rFonts w:ascii="Arial" w:hAnsi="Arial" w:cs="Arial"/>
              </w:rPr>
              <w:t>T419</w:t>
            </w:r>
            <w:r w:rsidRPr="00F16479">
              <w:rPr>
                <w:rFonts w:ascii="Arial" w:hAnsi="Arial" w:cs="Arial"/>
                <w:color w:val="5B9BD5" w:themeColor="accent1"/>
              </w:rPr>
              <w:t>1</w:t>
            </w:r>
          </w:p>
        </w:tc>
      </w:tr>
      <w:tr w:rsidR="00F16479" w:rsidRPr="00F16479" w14:paraId="117D0F8D" w14:textId="77777777" w:rsidTr="00F16479">
        <w:trPr>
          <w:trHeight w:val="510"/>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BCBEFE5" w14:textId="77777777" w:rsidR="00F16479" w:rsidRPr="00F16479" w:rsidRDefault="00F16479" w:rsidP="00F16479">
            <w:pPr>
              <w:spacing w:line="240" w:lineRule="atLeast"/>
              <w:rPr>
                <w:rFonts w:ascii="Arial" w:hAnsi="Arial" w:cs="Arial"/>
                <w:b/>
                <w:bCs/>
                <w:i/>
              </w:rPr>
            </w:pPr>
            <w:r w:rsidRPr="00F16479">
              <w:rPr>
                <w:rFonts w:ascii="Arial" w:hAnsi="Arial" w:cs="Arial"/>
                <w:b/>
                <w:bCs/>
                <w:i/>
                <w:color w:val="5B9BD5" w:themeColor="accent1"/>
              </w:rPr>
              <w:t>Cash-Pool-Führer (CF): Forderungsbestand zum Quartalsende des Vorquartals</w:t>
            </w:r>
          </w:p>
        </w:tc>
        <w:tc>
          <w:tcPr>
            <w:tcW w:w="1080" w:type="dxa"/>
            <w:tcBorders>
              <w:top w:val="nil"/>
              <w:left w:val="nil"/>
              <w:bottom w:val="single" w:sz="4" w:space="0" w:color="auto"/>
              <w:right w:val="single" w:sz="4" w:space="0" w:color="auto"/>
            </w:tcBorders>
            <w:shd w:val="clear" w:color="000000" w:fill="FFFFFF"/>
            <w:vAlign w:val="center"/>
            <w:hideMark/>
          </w:tcPr>
          <w:p w14:paraId="59BF0DB0" w14:textId="77777777" w:rsidR="00F16479" w:rsidRPr="00F16479" w:rsidRDefault="00F16479" w:rsidP="00F16479">
            <w:pPr>
              <w:spacing w:line="240" w:lineRule="atLeast"/>
              <w:rPr>
                <w:rFonts w:ascii="Arial" w:hAnsi="Arial" w:cs="Arial"/>
                <w:b/>
                <w:bCs/>
              </w:rPr>
            </w:pPr>
            <w:r w:rsidRPr="00F16479">
              <w:rPr>
                <w:rFonts w:ascii="Arial" w:hAnsi="Arial" w:cs="Arial"/>
                <w:b/>
                <w:bCs/>
              </w:rPr>
              <w:t>T420</w:t>
            </w:r>
            <w:r w:rsidRPr="00F16479">
              <w:rPr>
                <w:rFonts w:ascii="Arial" w:hAnsi="Arial" w:cs="Arial"/>
                <w:b/>
                <w:bCs/>
                <w:color w:val="5B9BD5" w:themeColor="accent1"/>
              </w:rPr>
              <w:t>1</w:t>
            </w:r>
          </w:p>
        </w:tc>
      </w:tr>
      <w:tr w:rsidR="00F16479" w:rsidRPr="00F16479" w14:paraId="2BC6BF5A"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5CA5C4F" w14:textId="77777777" w:rsidR="00F16479" w:rsidRPr="00F16479" w:rsidRDefault="00F16479" w:rsidP="00F16479">
            <w:pPr>
              <w:spacing w:line="240" w:lineRule="atLeast"/>
              <w:rPr>
                <w:rFonts w:ascii="Arial" w:hAnsi="Arial" w:cs="Arial"/>
              </w:rPr>
            </w:pPr>
            <w:r w:rsidRPr="00F16479">
              <w:rPr>
                <w:rFonts w:ascii="Arial" w:hAnsi="Arial" w:cs="Arial"/>
              </w:rPr>
              <w:t>darunter: beim Bund</w:t>
            </w:r>
          </w:p>
        </w:tc>
        <w:tc>
          <w:tcPr>
            <w:tcW w:w="1080" w:type="dxa"/>
            <w:tcBorders>
              <w:top w:val="nil"/>
              <w:left w:val="nil"/>
              <w:bottom w:val="single" w:sz="4" w:space="0" w:color="auto"/>
              <w:right w:val="single" w:sz="4" w:space="0" w:color="auto"/>
            </w:tcBorders>
            <w:shd w:val="clear" w:color="000000" w:fill="FFFFFF"/>
            <w:vAlign w:val="center"/>
            <w:hideMark/>
          </w:tcPr>
          <w:p w14:paraId="3F43EC23" w14:textId="77777777" w:rsidR="00F16479" w:rsidRPr="00F16479" w:rsidRDefault="00F16479" w:rsidP="00F16479">
            <w:pPr>
              <w:spacing w:line="240" w:lineRule="atLeast"/>
              <w:rPr>
                <w:rFonts w:ascii="Arial" w:hAnsi="Arial" w:cs="Arial"/>
              </w:rPr>
            </w:pPr>
            <w:r w:rsidRPr="00F16479">
              <w:rPr>
                <w:rFonts w:ascii="Arial" w:hAnsi="Arial" w:cs="Arial"/>
              </w:rPr>
              <w:t>T423</w:t>
            </w:r>
            <w:r w:rsidRPr="00F16479">
              <w:rPr>
                <w:rFonts w:ascii="Arial" w:hAnsi="Arial" w:cs="Arial"/>
                <w:color w:val="5B9BD5" w:themeColor="accent1"/>
              </w:rPr>
              <w:t>1</w:t>
            </w:r>
          </w:p>
        </w:tc>
      </w:tr>
      <w:tr w:rsidR="00F16479" w:rsidRPr="00F16479" w14:paraId="3ACBA8FE"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2A7A1DC" w14:textId="77777777" w:rsidR="00F16479" w:rsidRPr="00F16479" w:rsidRDefault="00F16479" w:rsidP="00F16479">
            <w:pPr>
              <w:spacing w:line="240" w:lineRule="atLeast"/>
              <w:rPr>
                <w:rFonts w:ascii="Arial" w:hAnsi="Arial" w:cs="Arial"/>
              </w:rPr>
            </w:pPr>
            <w:r w:rsidRPr="00F16479">
              <w:rPr>
                <w:rFonts w:ascii="Arial" w:hAnsi="Arial" w:cs="Arial"/>
              </w:rPr>
              <w:t>darunter: bei Ländern</w:t>
            </w:r>
          </w:p>
        </w:tc>
        <w:tc>
          <w:tcPr>
            <w:tcW w:w="1080" w:type="dxa"/>
            <w:tcBorders>
              <w:top w:val="nil"/>
              <w:left w:val="nil"/>
              <w:bottom w:val="single" w:sz="4" w:space="0" w:color="auto"/>
              <w:right w:val="single" w:sz="4" w:space="0" w:color="auto"/>
            </w:tcBorders>
            <w:shd w:val="clear" w:color="000000" w:fill="FFFFFF"/>
            <w:vAlign w:val="center"/>
            <w:hideMark/>
          </w:tcPr>
          <w:p w14:paraId="73F9374E" w14:textId="77777777" w:rsidR="00F16479" w:rsidRPr="00F16479" w:rsidRDefault="00F16479" w:rsidP="00F16479">
            <w:pPr>
              <w:spacing w:line="240" w:lineRule="atLeast"/>
              <w:rPr>
                <w:rFonts w:ascii="Arial" w:hAnsi="Arial" w:cs="Arial"/>
              </w:rPr>
            </w:pPr>
            <w:r w:rsidRPr="00F16479">
              <w:rPr>
                <w:rFonts w:ascii="Arial" w:hAnsi="Arial" w:cs="Arial"/>
              </w:rPr>
              <w:t>T424</w:t>
            </w:r>
            <w:r w:rsidRPr="00F16479">
              <w:rPr>
                <w:rFonts w:ascii="Arial" w:hAnsi="Arial" w:cs="Arial"/>
                <w:color w:val="5B9BD5" w:themeColor="accent1"/>
              </w:rPr>
              <w:t>1</w:t>
            </w:r>
          </w:p>
        </w:tc>
      </w:tr>
      <w:tr w:rsidR="00F16479" w:rsidRPr="00F16479" w14:paraId="4337BAD6"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321EFA35" w14:textId="77777777" w:rsidR="00F16479" w:rsidRPr="00F16479" w:rsidRDefault="00F16479" w:rsidP="00F16479">
            <w:pPr>
              <w:spacing w:line="240" w:lineRule="atLeast"/>
              <w:rPr>
                <w:rFonts w:ascii="Arial" w:hAnsi="Arial" w:cs="Arial"/>
              </w:rPr>
            </w:pPr>
            <w:r w:rsidRPr="00F16479">
              <w:rPr>
                <w:rFonts w:ascii="Arial" w:hAnsi="Arial" w:cs="Arial"/>
              </w:rPr>
              <w:t>darunter: bei Gemeinden/Gv.</w:t>
            </w:r>
          </w:p>
        </w:tc>
        <w:tc>
          <w:tcPr>
            <w:tcW w:w="1080" w:type="dxa"/>
            <w:tcBorders>
              <w:top w:val="nil"/>
              <w:left w:val="nil"/>
              <w:bottom w:val="single" w:sz="4" w:space="0" w:color="auto"/>
              <w:right w:val="single" w:sz="4" w:space="0" w:color="auto"/>
            </w:tcBorders>
            <w:shd w:val="clear" w:color="000000" w:fill="FFFFFF"/>
            <w:vAlign w:val="center"/>
            <w:hideMark/>
          </w:tcPr>
          <w:p w14:paraId="6971863D" w14:textId="77777777" w:rsidR="00F16479" w:rsidRPr="00F16479" w:rsidRDefault="00F16479" w:rsidP="00F16479">
            <w:pPr>
              <w:spacing w:line="240" w:lineRule="atLeast"/>
              <w:rPr>
                <w:rFonts w:ascii="Arial" w:hAnsi="Arial" w:cs="Arial"/>
              </w:rPr>
            </w:pPr>
            <w:r w:rsidRPr="00F16479">
              <w:rPr>
                <w:rFonts w:ascii="Arial" w:hAnsi="Arial" w:cs="Arial"/>
              </w:rPr>
              <w:t>T425</w:t>
            </w:r>
            <w:r w:rsidRPr="00F16479">
              <w:rPr>
                <w:rFonts w:ascii="Arial" w:hAnsi="Arial" w:cs="Arial"/>
                <w:color w:val="5B9BD5" w:themeColor="accent1"/>
              </w:rPr>
              <w:t>1</w:t>
            </w:r>
          </w:p>
        </w:tc>
      </w:tr>
      <w:tr w:rsidR="00F16479" w:rsidRPr="00F16479" w14:paraId="75A99FBF"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4C077411" w14:textId="77777777" w:rsidR="00F16479" w:rsidRPr="00F16479" w:rsidRDefault="00F16479" w:rsidP="00F16479">
            <w:pPr>
              <w:spacing w:line="240" w:lineRule="atLeast"/>
              <w:rPr>
                <w:rFonts w:ascii="Arial" w:hAnsi="Arial" w:cs="Arial"/>
              </w:rPr>
            </w:pPr>
            <w:r w:rsidRPr="00F16479">
              <w:rPr>
                <w:rFonts w:ascii="Arial" w:hAnsi="Arial" w:cs="Arial"/>
              </w:rPr>
              <w:t>darunter: bei Zweckverbänden und dergleichen</w:t>
            </w:r>
          </w:p>
        </w:tc>
        <w:tc>
          <w:tcPr>
            <w:tcW w:w="1080" w:type="dxa"/>
            <w:tcBorders>
              <w:top w:val="nil"/>
              <w:left w:val="nil"/>
              <w:bottom w:val="single" w:sz="4" w:space="0" w:color="auto"/>
              <w:right w:val="single" w:sz="4" w:space="0" w:color="auto"/>
            </w:tcBorders>
            <w:shd w:val="clear" w:color="000000" w:fill="FFFFFF"/>
            <w:vAlign w:val="center"/>
            <w:hideMark/>
          </w:tcPr>
          <w:p w14:paraId="54FC7F39" w14:textId="77777777" w:rsidR="00F16479" w:rsidRPr="00F16479" w:rsidRDefault="00F16479" w:rsidP="00F16479">
            <w:pPr>
              <w:spacing w:line="240" w:lineRule="atLeast"/>
              <w:rPr>
                <w:rFonts w:ascii="Arial" w:hAnsi="Arial" w:cs="Arial"/>
              </w:rPr>
            </w:pPr>
            <w:r w:rsidRPr="00F16479">
              <w:rPr>
                <w:rFonts w:ascii="Arial" w:hAnsi="Arial" w:cs="Arial"/>
              </w:rPr>
              <w:t>T426</w:t>
            </w:r>
            <w:r w:rsidRPr="00F16479">
              <w:rPr>
                <w:rFonts w:ascii="Arial" w:hAnsi="Arial" w:cs="Arial"/>
                <w:color w:val="5B9BD5" w:themeColor="accent1"/>
              </w:rPr>
              <w:t>1</w:t>
            </w:r>
          </w:p>
        </w:tc>
      </w:tr>
      <w:tr w:rsidR="00F16479" w:rsidRPr="00F16479" w14:paraId="061252B4"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7624DC3" w14:textId="77777777" w:rsidR="00F16479" w:rsidRPr="00F16479" w:rsidRDefault="00F16479" w:rsidP="00F16479">
            <w:pPr>
              <w:spacing w:line="240" w:lineRule="atLeast"/>
              <w:rPr>
                <w:rFonts w:ascii="Arial" w:hAnsi="Arial" w:cs="Arial"/>
              </w:rPr>
            </w:pPr>
            <w:r w:rsidRPr="00F16479">
              <w:rPr>
                <w:rFonts w:ascii="Arial" w:hAnsi="Arial" w:cs="Arial"/>
              </w:rPr>
              <w:t>darunter: bei der gesetzlichen Sozialversicherung</w:t>
            </w:r>
          </w:p>
        </w:tc>
        <w:tc>
          <w:tcPr>
            <w:tcW w:w="1080" w:type="dxa"/>
            <w:tcBorders>
              <w:top w:val="nil"/>
              <w:left w:val="nil"/>
              <w:bottom w:val="single" w:sz="4" w:space="0" w:color="auto"/>
              <w:right w:val="single" w:sz="4" w:space="0" w:color="auto"/>
            </w:tcBorders>
            <w:shd w:val="clear" w:color="000000" w:fill="FFFFFF"/>
            <w:vAlign w:val="center"/>
            <w:hideMark/>
          </w:tcPr>
          <w:p w14:paraId="614DF08E" w14:textId="77777777" w:rsidR="00F16479" w:rsidRPr="00F16479" w:rsidRDefault="00F16479" w:rsidP="00F16479">
            <w:pPr>
              <w:spacing w:line="240" w:lineRule="atLeast"/>
              <w:rPr>
                <w:rFonts w:ascii="Arial" w:hAnsi="Arial" w:cs="Arial"/>
              </w:rPr>
            </w:pPr>
            <w:r w:rsidRPr="00F16479">
              <w:rPr>
                <w:rFonts w:ascii="Arial" w:hAnsi="Arial" w:cs="Arial"/>
              </w:rPr>
              <w:t>T427</w:t>
            </w:r>
            <w:r w:rsidRPr="00F16479">
              <w:rPr>
                <w:rFonts w:ascii="Arial" w:hAnsi="Arial" w:cs="Arial"/>
                <w:color w:val="5B9BD5" w:themeColor="accent1"/>
              </w:rPr>
              <w:t>1</w:t>
            </w:r>
          </w:p>
        </w:tc>
      </w:tr>
      <w:tr w:rsidR="00F16479" w:rsidRPr="00F16479" w14:paraId="350E4E2D"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7FB7213" w14:textId="77777777" w:rsidR="00F16479" w:rsidRPr="00F16479" w:rsidRDefault="00F16479" w:rsidP="00F16479">
            <w:pPr>
              <w:spacing w:line="240" w:lineRule="atLeast"/>
              <w:rPr>
                <w:rFonts w:ascii="Arial" w:hAnsi="Arial" w:cs="Arial"/>
              </w:rPr>
            </w:pPr>
            <w:r w:rsidRPr="00F16479">
              <w:rPr>
                <w:rFonts w:ascii="Arial" w:hAnsi="Arial" w:cs="Arial"/>
              </w:rPr>
              <w:t>darunter: bei verbundenen Unternehmen, Beteiligungen</w:t>
            </w:r>
          </w:p>
        </w:tc>
        <w:tc>
          <w:tcPr>
            <w:tcW w:w="1080" w:type="dxa"/>
            <w:tcBorders>
              <w:top w:val="nil"/>
              <w:left w:val="nil"/>
              <w:bottom w:val="single" w:sz="4" w:space="0" w:color="auto"/>
              <w:right w:val="single" w:sz="4" w:space="0" w:color="auto"/>
            </w:tcBorders>
            <w:shd w:val="clear" w:color="000000" w:fill="FFFFFF"/>
            <w:vAlign w:val="center"/>
            <w:hideMark/>
          </w:tcPr>
          <w:p w14:paraId="5453FC99" w14:textId="77777777" w:rsidR="00F16479" w:rsidRPr="00F16479" w:rsidRDefault="00F16479" w:rsidP="00F16479">
            <w:pPr>
              <w:spacing w:line="240" w:lineRule="atLeast"/>
              <w:rPr>
                <w:rFonts w:ascii="Arial" w:hAnsi="Arial" w:cs="Arial"/>
              </w:rPr>
            </w:pPr>
            <w:r w:rsidRPr="00F16479">
              <w:rPr>
                <w:rFonts w:ascii="Arial" w:hAnsi="Arial" w:cs="Arial"/>
              </w:rPr>
              <w:t>T428</w:t>
            </w:r>
            <w:r w:rsidRPr="00F16479">
              <w:rPr>
                <w:rFonts w:ascii="Arial" w:hAnsi="Arial" w:cs="Arial"/>
                <w:color w:val="5B9BD5" w:themeColor="accent1"/>
              </w:rPr>
              <w:t>1</w:t>
            </w:r>
          </w:p>
        </w:tc>
      </w:tr>
      <w:tr w:rsidR="00F16479" w:rsidRPr="00F16479" w14:paraId="7BC74E84"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0D9F0F7" w14:textId="77777777" w:rsidR="00F16479" w:rsidRPr="00F16479" w:rsidRDefault="00F16479" w:rsidP="00F16479">
            <w:pPr>
              <w:spacing w:line="240" w:lineRule="atLeast"/>
              <w:rPr>
                <w:rFonts w:ascii="Arial" w:hAnsi="Arial" w:cs="Arial"/>
              </w:rPr>
            </w:pPr>
            <w:r w:rsidRPr="00F16479">
              <w:rPr>
                <w:rFonts w:ascii="Arial" w:hAnsi="Arial" w:cs="Arial"/>
              </w:rPr>
              <w:t>darunter: bei sonstigen öffentlichen Sonderrechnungen</w:t>
            </w:r>
          </w:p>
        </w:tc>
        <w:tc>
          <w:tcPr>
            <w:tcW w:w="1080" w:type="dxa"/>
            <w:tcBorders>
              <w:top w:val="nil"/>
              <w:left w:val="nil"/>
              <w:bottom w:val="single" w:sz="4" w:space="0" w:color="auto"/>
              <w:right w:val="single" w:sz="4" w:space="0" w:color="auto"/>
            </w:tcBorders>
            <w:shd w:val="clear" w:color="000000" w:fill="FFFFFF"/>
            <w:vAlign w:val="center"/>
            <w:hideMark/>
          </w:tcPr>
          <w:p w14:paraId="43FDD453" w14:textId="77777777" w:rsidR="00F16479" w:rsidRPr="00F16479" w:rsidRDefault="00F16479" w:rsidP="00F16479">
            <w:pPr>
              <w:spacing w:line="240" w:lineRule="atLeast"/>
              <w:rPr>
                <w:rFonts w:ascii="Arial" w:hAnsi="Arial" w:cs="Arial"/>
              </w:rPr>
            </w:pPr>
            <w:r w:rsidRPr="00F16479">
              <w:rPr>
                <w:rFonts w:ascii="Arial" w:hAnsi="Arial" w:cs="Arial"/>
              </w:rPr>
              <w:t>T429</w:t>
            </w:r>
            <w:r w:rsidRPr="00F16479">
              <w:rPr>
                <w:rFonts w:ascii="Arial" w:hAnsi="Arial" w:cs="Arial"/>
                <w:color w:val="5B9BD5" w:themeColor="accent1"/>
              </w:rPr>
              <w:t>1</w:t>
            </w:r>
          </w:p>
        </w:tc>
      </w:tr>
      <w:tr w:rsidR="00F16479" w:rsidRPr="00F16479" w14:paraId="258B6BFF"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281C0581" w14:textId="77777777" w:rsidR="00F16479" w:rsidRPr="00F16479" w:rsidRDefault="00F16479" w:rsidP="00F16479">
            <w:pPr>
              <w:spacing w:line="240" w:lineRule="atLeast"/>
              <w:rPr>
                <w:rFonts w:ascii="Arial" w:hAnsi="Arial" w:cs="Arial"/>
              </w:rPr>
            </w:pPr>
            <w:r w:rsidRPr="00F16479">
              <w:rPr>
                <w:rFonts w:ascii="Arial" w:hAnsi="Arial" w:cs="Arial"/>
              </w:rPr>
              <w:t> </w:t>
            </w:r>
          </w:p>
        </w:tc>
        <w:tc>
          <w:tcPr>
            <w:tcW w:w="1080" w:type="dxa"/>
            <w:tcBorders>
              <w:top w:val="nil"/>
              <w:left w:val="nil"/>
              <w:bottom w:val="single" w:sz="4" w:space="0" w:color="auto"/>
              <w:right w:val="single" w:sz="4" w:space="0" w:color="auto"/>
            </w:tcBorders>
            <w:shd w:val="clear" w:color="000000" w:fill="FFFFFF"/>
            <w:vAlign w:val="center"/>
            <w:hideMark/>
          </w:tcPr>
          <w:p w14:paraId="560C00E6" w14:textId="77777777" w:rsidR="00F16479" w:rsidRPr="00F16479" w:rsidRDefault="00F16479" w:rsidP="00F16479">
            <w:pPr>
              <w:spacing w:line="240" w:lineRule="atLeast"/>
              <w:rPr>
                <w:rFonts w:ascii="Arial" w:hAnsi="Arial" w:cs="Arial"/>
              </w:rPr>
            </w:pPr>
            <w:r w:rsidRPr="00F16479">
              <w:rPr>
                <w:rFonts w:ascii="Arial" w:hAnsi="Arial" w:cs="Arial"/>
              </w:rPr>
              <w:t> </w:t>
            </w:r>
          </w:p>
        </w:tc>
      </w:tr>
      <w:tr w:rsidR="00F16479" w:rsidRPr="00F16479" w14:paraId="4E8EF28E" w14:textId="77777777" w:rsidTr="00F16479">
        <w:trPr>
          <w:trHeight w:val="76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0BAD373" w14:textId="77777777" w:rsidR="00F16479" w:rsidRPr="00F16479" w:rsidRDefault="00F16479" w:rsidP="00F16479">
            <w:pPr>
              <w:spacing w:line="240" w:lineRule="atLeast"/>
              <w:rPr>
                <w:rFonts w:ascii="Arial" w:hAnsi="Arial" w:cs="Arial"/>
                <w:b/>
                <w:bCs/>
                <w:i/>
              </w:rPr>
            </w:pPr>
            <w:r w:rsidRPr="00F16479">
              <w:rPr>
                <w:rFonts w:ascii="Arial" w:hAnsi="Arial" w:cs="Arial"/>
                <w:b/>
                <w:bCs/>
                <w:i/>
                <w:color w:val="5B9BD5" w:themeColor="accent1"/>
              </w:rPr>
              <w:t>Cash-Pool-Einheit (CE):</w:t>
            </w:r>
            <w:r w:rsidRPr="00F16479">
              <w:rPr>
                <w:rFonts w:ascii="Arial" w:hAnsi="Arial" w:cs="Arial"/>
                <w:b/>
                <w:bCs/>
                <w:i/>
                <w:color w:val="5B9BD5" w:themeColor="accent1"/>
              </w:rPr>
              <w:br/>
              <w:t>bei eigenen Liquiditätsüberschuss zugeführte Mittel (Zuführung an Cash-Pool/Einheitskasse/Amtskasse) zum Quartalsende</w:t>
            </w:r>
          </w:p>
        </w:tc>
        <w:tc>
          <w:tcPr>
            <w:tcW w:w="1080" w:type="dxa"/>
            <w:tcBorders>
              <w:top w:val="nil"/>
              <w:left w:val="nil"/>
              <w:bottom w:val="single" w:sz="4" w:space="0" w:color="auto"/>
              <w:right w:val="single" w:sz="4" w:space="0" w:color="auto"/>
            </w:tcBorders>
            <w:shd w:val="clear" w:color="000000" w:fill="FFFFFF"/>
            <w:vAlign w:val="center"/>
            <w:hideMark/>
          </w:tcPr>
          <w:p w14:paraId="4A4EDD5C" w14:textId="77777777" w:rsidR="00F16479" w:rsidRPr="00F16479" w:rsidRDefault="00F16479" w:rsidP="00F16479">
            <w:pPr>
              <w:spacing w:line="240" w:lineRule="atLeast"/>
              <w:rPr>
                <w:rFonts w:ascii="Arial" w:hAnsi="Arial" w:cs="Arial"/>
                <w:b/>
                <w:bCs/>
              </w:rPr>
            </w:pPr>
            <w:r w:rsidRPr="00F16479">
              <w:rPr>
                <w:rFonts w:ascii="Arial" w:hAnsi="Arial" w:cs="Arial"/>
                <w:b/>
                <w:bCs/>
              </w:rPr>
              <w:t>T410</w:t>
            </w:r>
            <w:r w:rsidRPr="00F16479">
              <w:rPr>
                <w:rFonts w:ascii="Arial" w:hAnsi="Arial" w:cs="Arial"/>
                <w:b/>
                <w:bCs/>
                <w:color w:val="5B9BD5" w:themeColor="accent1"/>
              </w:rPr>
              <w:t>2</w:t>
            </w:r>
          </w:p>
        </w:tc>
      </w:tr>
      <w:tr w:rsidR="00F16479" w:rsidRPr="00F16479" w14:paraId="7BCF81F0"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5CFC0D26" w14:textId="77777777" w:rsidR="00F16479" w:rsidRPr="00F16479" w:rsidRDefault="00F16479" w:rsidP="00F16479">
            <w:pPr>
              <w:spacing w:line="240" w:lineRule="atLeast"/>
              <w:rPr>
                <w:rFonts w:ascii="Arial" w:hAnsi="Arial" w:cs="Arial"/>
              </w:rPr>
            </w:pPr>
            <w:r w:rsidRPr="00F16479">
              <w:rPr>
                <w:rFonts w:ascii="Arial" w:hAnsi="Arial" w:cs="Arial"/>
              </w:rPr>
              <w:t>darunter: beim Bund</w:t>
            </w:r>
          </w:p>
        </w:tc>
        <w:tc>
          <w:tcPr>
            <w:tcW w:w="1080" w:type="dxa"/>
            <w:tcBorders>
              <w:top w:val="nil"/>
              <w:left w:val="nil"/>
              <w:bottom w:val="single" w:sz="4" w:space="0" w:color="auto"/>
              <w:right w:val="single" w:sz="4" w:space="0" w:color="auto"/>
            </w:tcBorders>
            <w:shd w:val="clear" w:color="000000" w:fill="FFFFFF"/>
            <w:vAlign w:val="center"/>
            <w:hideMark/>
          </w:tcPr>
          <w:p w14:paraId="4C91434B" w14:textId="77777777" w:rsidR="00F16479" w:rsidRPr="00F16479" w:rsidRDefault="00F16479" w:rsidP="00F16479">
            <w:pPr>
              <w:spacing w:line="240" w:lineRule="atLeast"/>
              <w:rPr>
                <w:rFonts w:ascii="Arial" w:hAnsi="Arial" w:cs="Arial"/>
              </w:rPr>
            </w:pPr>
            <w:r w:rsidRPr="00F16479">
              <w:rPr>
                <w:rFonts w:ascii="Arial" w:hAnsi="Arial" w:cs="Arial"/>
              </w:rPr>
              <w:t>T413</w:t>
            </w:r>
            <w:r w:rsidRPr="00F16479">
              <w:rPr>
                <w:rFonts w:ascii="Arial" w:hAnsi="Arial" w:cs="Arial"/>
                <w:color w:val="5B9BD5" w:themeColor="accent1"/>
              </w:rPr>
              <w:t>2</w:t>
            </w:r>
          </w:p>
        </w:tc>
      </w:tr>
      <w:tr w:rsidR="00F16479" w:rsidRPr="00F16479" w14:paraId="7D5F77A1"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62B8D164" w14:textId="77777777" w:rsidR="00F16479" w:rsidRPr="00F16479" w:rsidRDefault="00F16479" w:rsidP="00F16479">
            <w:pPr>
              <w:spacing w:line="240" w:lineRule="atLeast"/>
              <w:rPr>
                <w:rFonts w:ascii="Arial" w:hAnsi="Arial" w:cs="Arial"/>
              </w:rPr>
            </w:pPr>
            <w:r w:rsidRPr="00F16479">
              <w:rPr>
                <w:rFonts w:ascii="Arial" w:hAnsi="Arial" w:cs="Arial"/>
              </w:rPr>
              <w:t>darunter: bei Ländern</w:t>
            </w:r>
          </w:p>
        </w:tc>
        <w:tc>
          <w:tcPr>
            <w:tcW w:w="1080" w:type="dxa"/>
            <w:tcBorders>
              <w:top w:val="nil"/>
              <w:left w:val="nil"/>
              <w:bottom w:val="single" w:sz="4" w:space="0" w:color="auto"/>
              <w:right w:val="single" w:sz="4" w:space="0" w:color="auto"/>
            </w:tcBorders>
            <w:shd w:val="clear" w:color="000000" w:fill="FFFFFF"/>
            <w:vAlign w:val="center"/>
            <w:hideMark/>
          </w:tcPr>
          <w:p w14:paraId="6745D73F" w14:textId="77777777" w:rsidR="00F16479" w:rsidRPr="00F16479" w:rsidRDefault="00F16479" w:rsidP="00F16479">
            <w:pPr>
              <w:spacing w:line="240" w:lineRule="atLeast"/>
              <w:rPr>
                <w:rFonts w:ascii="Arial" w:hAnsi="Arial" w:cs="Arial"/>
              </w:rPr>
            </w:pPr>
            <w:r w:rsidRPr="00F16479">
              <w:rPr>
                <w:rFonts w:ascii="Arial" w:hAnsi="Arial" w:cs="Arial"/>
              </w:rPr>
              <w:t>T414</w:t>
            </w:r>
            <w:r w:rsidRPr="00F16479">
              <w:rPr>
                <w:rFonts w:ascii="Arial" w:hAnsi="Arial" w:cs="Arial"/>
                <w:color w:val="5B9BD5" w:themeColor="accent1"/>
              </w:rPr>
              <w:t>2</w:t>
            </w:r>
          </w:p>
        </w:tc>
      </w:tr>
      <w:tr w:rsidR="00F16479" w:rsidRPr="00F16479" w14:paraId="75134890"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527D6355" w14:textId="77777777" w:rsidR="00F16479" w:rsidRPr="00F16479" w:rsidRDefault="00F16479" w:rsidP="00F16479">
            <w:pPr>
              <w:spacing w:line="240" w:lineRule="atLeast"/>
              <w:rPr>
                <w:rFonts w:ascii="Arial" w:hAnsi="Arial" w:cs="Arial"/>
              </w:rPr>
            </w:pPr>
            <w:r w:rsidRPr="00F16479">
              <w:rPr>
                <w:rFonts w:ascii="Arial" w:hAnsi="Arial" w:cs="Arial"/>
              </w:rPr>
              <w:t>darunter: bei Gemeinden/Gv.</w:t>
            </w:r>
          </w:p>
        </w:tc>
        <w:tc>
          <w:tcPr>
            <w:tcW w:w="1080" w:type="dxa"/>
            <w:tcBorders>
              <w:top w:val="nil"/>
              <w:left w:val="nil"/>
              <w:bottom w:val="single" w:sz="4" w:space="0" w:color="auto"/>
              <w:right w:val="single" w:sz="4" w:space="0" w:color="auto"/>
            </w:tcBorders>
            <w:shd w:val="clear" w:color="000000" w:fill="FFFFFF"/>
            <w:vAlign w:val="center"/>
            <w:hideMark/>
          </w:tcPr>
          <w:p w14:paraId="2F5899DC" w14:textId="77777777" w:rsidR="00F16479" w:rsidRPr="00F16479" w:rsidRDefault="00F16479" w:rsidP="00F16479">
            <w:pPr>
              <w:spacing w:line="240" w:lineRule="atLeast"/>
              <w:rPr>
                <w:rFonts w:ascii="Arial" w:hAnsi="Arial" w:cs="Arial"/>
              </w:rPr>
            </w:pPr>
            <w:r w:rsidRPr="00F16479">
              <w:rPr>
                <w:rFonts w:ascii="Arial" w:hAnsi="Arial" w:cs="Arial"/>
              </w:rPr>
              <w:t>T415</w:t>
            </w:r>
            <w:r w:rsidRPr="00F16479">
              <w:rPr>
                <w:rFonts w:ascii="Arial" w:hAnsi="Arial" w:cs="Arial"/>
                <w:color w:val="5B9BD5" w:themeColor="accent1"/>
              </w:rPr>
              <w:t>2</w:t>
            </w:r>
          </w:p>
        </w:tc>
      </w:tr>
      <w:tr w:rsidR="00F16479" w:rsidRPr="00F16479" w14:paraId="6D7033A3"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FD3ACA0" w14:textId="77777777" w:rsidR="00F16479" w:rsidRPr="00F16479" w:rsidRDefault="00F16479" w:rsidP="00F16479">
            <w:pPr>
              <w:spacing w:line="240" w:lineRule="atLeast"/>
              <w:rPr>
                <w:rFonts w:ascii="Arial" w:hAnsi="Arial" w:cs="Arial"/>
              </w:rPr>
            </w:pPr>
            <w:r w:rsidRPr="00F16479">
              <w:rPr>
                <w:rFonts w:ascii="Arial" w:hAnsi="Arial" w:cs="Arial"/>
              </w:rPr>
              <w:t>darunter: bei Zweckverbänden und dergleichen</w:t>
            </w:r>
          </w:p>
        </w:tc>
        <w:tc>
          <w:tcPr>
            <w:tcW w:w="1080" w:type="dxa"/>
            <w:tcBorders>
              <w:top w:val="nil"/>
              <w:left w:val="nil"/>
              <w:bottom w:val="single" w:sz="4" w:space="0" w:color="auto"/>
              <w:right w:val="single" w:sz="4" w:space="0" w:color="auto"/>
            </w:tcBorders>
            <w:shd w:val="clear" w:color="000000" w:fill="FFFFFF"/>
            <w:vAlign w:val="center"/>
            <w:hideMark/>
          </w:tcPr>
          <w:p w14:paraId="7692811D" w14:textId="77777777" w:rsidR="00F16479" w:rsidRPr="00F16479" w:rsidRDefault="00F16479" w:rsidP="00F16479">
            <w:pPr>
              <w:spacing w:line="240" w:lineRule="atLeast"/>
              <w:rPr>
                <w:rFonts w:ascii="Arial" w:hAnsi="Arial" w:cs="Arial"/>
              </w:rPr>
            </w:pPr>
            <w:r w:rsidRPr="00F16479">
              <w:rPr>
                <w:rFonts w:ascii="Arial" w:hAnsi="Arial" w:cs="Arial"/>
              </w:rPr>
              <w:t>T416</w:t>
            </w:r>
            <w:r w:rsidRPr="00F16479">
              <w:rPr>
                <w:rFonts w:ascii="Arial" w:hAnsi="Arial" w:cs="Arial"/>
                <w:color w:val="5B9BD5" w:themeColor="accent1"/>
              </w:rPr>
              <w:t>2</w:t>
            </w:r>
          </w:p>
        </w:tc>
      </w:tr>
      <w:tr w:rsidR="00F16479" w:rsidRPr="00F16479" w14:paraId="5C117460"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479E908" w14:textId="77777777" w:rsidR="00F16479" w:rsidRPr="00F16479" w:rsidRDefault="00F16479" w:rsidP="00F16479">
            <w:pPr>
              <w:spacing w:line="240" w:lineRule="atLeast"/>
              <w:rPr>
                <w:rFonts w:ascii="Arial" w:hAnsi="Arial" w:cs="Arial"/>
              </w:rPr>
            </w:pPr>
            <w:r w:rsidRPr="00F16479">
              <w:rPr>
                <w:rFonts w:ascii="Arial" w:hAnsi="Arial" w:cs="Arial"/>
              </w:rPr>
              <w:t>darunter: bei der gesetzlichen Sozialversicherung</w:t>
            </w:r>
          </w:p>
        </w:tc>
        <w:tc>
          <w:tcPr>
            <w:tcW w:w="1080" w:type="dxa"/>
            <w:tcBorders>
              <w:top w:val="nil"/>
              <w:left w:val="nil"/>
              <w:bottom w:val="single" w:sz="4" w:space="0" w:color="auto"/>
              <w:right w:val="single" w:sz="4" w:space="0" w:color="auto"/>
            </w:tcBorders>
            <w:shd w:val="clear" w:color="000000" w:fill="FFFFFF"/>
            <w:vAlign w:val="center"/>
            <w:hideMark/>
          </w:tcPr>
          <w:p w14:paraId="53ED9246" w14:textId="77777777" w:rsidR="00F16479" w:rsidRPr="00F16479" w:rsidRDefault="00F16479" w:rsidP="00F16479">
            <w:pPr>
              <w:spacing w:line="240" w:lineRule="atLeast"/>
              <w:rPr>
                <w:rFonts w:ascii="Arial" w:hAnsi="Arial" w:cs="Arial"/>
              </w:rPr>
            </w:pPr>
            <w:r w:rsidRPr="00F16479">
              <w:rPr>
                <w:rFonts w:ascii="Arial" w:hAnsi="Arial" w:cs="Arial"/>
              </w:rPr>
              <w:t>T417</w:t>
            </w:r>
            <w:r w:rsidRPr="00F16479">
              <w:rPr>
                <w:rFonts w:ascii="Arial" w:hAnsi="Arial" w:cs="Arial"/>
                <w:color w:val="5B9BD5" w:themeColor="accent1"/>
              </w:rPr>
              <w:t>2</w:t>
            </w:r>
          </w:p>
        </w:tc>
      </w:tr>
      <w:tr w:rsidR="00F16479" w:rsidRPr="00F16479" w14:paraId="6764EDA7"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24AA64C3" w14:textId="77777777" w:rsidR="00F16479" w:rsidRPr="00F16479" w:rsidRDefault="00F16479" w:rsidP="00F16479">
            <w:pPr>
              <w:spacing w:line="240" w:lineRule="atLeast"/>
              <w:rPr>
                <w:rFonts w:ascii="Arial" w:hAnsi="Arial" w:cs="Arial"/>
              </w:rPr>
            </w:pPr>
            <w:r w:rsidRPr="00F16479">
              <w:rPr>
                <w:rFonts w:ascii="Arial" w:hAnsi="Arial" w:cs="Arial"/>
              </w:rPr>
              <w:t>darunter: bei verbundenen Unternehmen, Beteiligungen</w:t>
            </w:r>
          </w:p>
        </w:tc>
        <w:tc>
          <w:tcPr>
            <w:tcW w:w="1080" w:type="dxa"/>
            <w:tcBorders>
              <w:top w:val="nil"/>
              <w:left w:val="nil"/>
              <w:bottom w:val="single" w:sz="4" w:space="0" w:color="auto"/>
              <w:right w:val="single" w:sz="4" w:space="0" w:color="auto"/>
            </w:tcBorders>
            <w:shd w:val="clear" w:color="000000" w:fill="FFFFFF"/>
            <w:vAlign w:val="center"/>
            <w:hideMark/>
          </w:tcPr>
          <w:p w14:paraId="37E8572B" w14:textId="77777777" w:rsidR="00F16479" w:rsidRPr="00F16479" w:rsidRDefault="00F16479" w:rsidP="00F16479">
            <w:pPr>
              <w:spacing w:line="240" w:lineRule="atLeast"/>
              <w:rPr>
                <w:rFonts w:ascii="Arial" w:hAnsi="Arial" w:cs="Arial"/>
              </w:rPr>
            </w:pPr>
            <w:r w:rsidRPr="00F16479">
              <w:rPr>
                <w:rFonts w:ascii="Arial" w:hAnsi="Arial" w:cs="Arial"/>
              </w:rPr>
              <w:t>T418</w:t>
            </w:r>
            <w:r w:rsidRPr="00F16479">
              <w:rPr>
                <w:rFonts w:ascii="Arial" w:hAnsi="Arial" w:cs="Arial"/>
                <w:color w:val="5B9BD5" w:themeColor="accent1"/>
              </w:rPr>
              <w:t>2</w:t>
            </w:r>
          </w:p>
        </w:tc>
      </w:tr>
      <w:tr w:rsidR="00F16479" w:rsidRPr="00F16479" w14:paraId="6711FF5E"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25FE0220" w14:textId="77777777" w:rsidR="00F16479" w:rsidRPr="00F16479" w:rsidRDefault="00F16479" w:rsidP="00F16479">
            <w:pPr>
              <w:spacing w:line="240" w:lineRule="atLeast"/>
              <w:rPr>
                <w:rFonts w:ascii="Arial" w:hAnsi="Arial" w:cs="Arial"/>
              </w:rPr>
            </w:pPr>
            <w:r w:rsidRPr="00F16479">
              <w:rPr>
                <w:rFonts w:ascii="Arial" w:hAnsi="Arial" w:cs="Arial"/>
              </w:rPr>
              <w:t>darunter: bei sonstigen öffentlichen Sonderrechnungen</w:t>
            </w:r>
          </w:p>
        </w:tc>
        <w:tc>
          <w:tcPr>
            <w:tcW w:w="1080" w:type="dxa"/>
            <w:tcBorders>
              <w:top w:val="nil"/>
              <w:left w:val="nil"/>
              <w:bottom w:val="single" w:sz="4" w:space="0" w:color="auto"/>
              <w:right w:val="single" w:sz="4" w:space="0" w:color="auto"/>
            </w:tcBorders>
            <w:shd w:val="clear" w:color="000000" w:fill="FFFFFF"/>
            <w:vAlign w:val="center"/>
            <w:hideMark/>
          </w:tcPr>
          <w:p w14:paraId="1CA45307" w14:textId="77777777" w:rsidR="00F16479" w:rsidRPr="00F16479" w:rsidRDefault="00F16479" w:rsidP="00F16479">
            <w:pPr>
              <w:spacing w:line="240" w:lineRule="atLeast"/>
              <w:rPr>
                <w:rFonts w:ascii="Arial" w:hAnsi="Arial" w:cs="Arial"/>
              </w:rPr>
            </w:pPr>
            <w:r w:rsidRPr="00F16479">
              <w:rPr>
                <w:rFonts w:ascii="Arial" w:hAnsi="Arial" w:cs="Arial"/>
              </w:rPr>
              <w:t>T419</w:t>
            </w:r>
            <w:r w:rsidRPr="00F16479">
              <w:rPr>
                <w:rFonts w:ascii="Arial" w:hAnsi="Arial" w:cs="Arial"/>
                <w:color w:val="5B9BD5" w:themeColor="accent1"/>
              </w:rPr>
              <w:t>2</w:t>
            </w:r>
          </w:p>
        </w:tc>
      </w:tr>
      <w:tr w:rsidR="00F16479" w:rsidRPr="00F16479" w14:paraId="2B037899" w14:textId="77777777" w:rsidTr="00F16479">
        <w:trPr>
          <w:trHeight w:val="76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387EB275" w14:textId="77777777" w:rsidR="00F16479" w:rsidRPr="00F16479" w:rsidRDefault="00F16479" w:rsidP="00F16479">
            <w:pPr>
              <w:spacing w:line="240" w:lineRule="atLeast"/>
              <w:rPr>
                <w:rFonts w:ascii="Arial" w:hAnsi="Arial" w:cs="Arial"/>
                <w:b/>
                <w:bCs/>
                <w:i/>
              </w:rPr>
            </w:pPr>
            <w:r w:rsidRPr="00F16479">
              <w:rPr>
                <w:rFonts w:ascii="Arial" w:hAnsi="Arial" w:cs="Arial"/>
                <w:b/>
                <w:bCs/>
                <w:i/>
                <w:color w:val="5B9BD5" w:themeColor="accent1"/>
              </w:rPr>
              <w:t>Cash-Pool-Einheit (CE):</w:t>
            </w:r>
            <w:r w:rsidRPr="00F16479">
              <w:rPr>
                <w:rFonts w:ascii="Arial" w:hAnsi="Arial" w:cs="Arial"/>
                <w:b/>
                <w:bCs/>
                <w:i/>
                <w:color w:val="5B9BD5" w:themeColor="accent1"/>
              </w:rPr>
              <w:br/>
              <w:t>bei eigenen Liquiditätsüberschuss zugeführte Mittel (Zuführung an Cash-Pool/Einheitskasse/Amtskasse) zum Quartalsende des Vorquartals</w:t>
            </w:r>
          </w:p>
        </w:tc>
        <w:tc>
          <w:tcPr>
            <w:tcW w:w="1080" w:type="dxa"/>
            <w:tcBorders>
              <w:top w:val="nil"/>
              <w:left w:val="nil"/>
              <w:bottom w:val="single" w:sz="4" w:space="0" w:color="auto"/>
              <w:right w:val="single" w:sz="4" w:space="0" w:color="auto"/>
            </w:tcBorders>
            <w:shd w:val="clear" w:color="000000" w:fill="FFFFFF"/>
            <w:vAlign w:val="center"/>
            <w:hideMark/>
          </w:tcPr>
          <w:p w14:paraId="6F910F43" w14:textId="77777777" w:rsidR="00F16479" w:rsidRPr="00F16479" w:rsidRDefault="00F16479" w:rsidP="00F16479">
            <w:pPr>
              <w:spacing w:line="240" w:lineRule="atLeast"/>
              <w:rPr>
                <w:rFonts w:ascii="Arial" w:hAnsi="Arial" w:cs="Arial"/>
                <w:b/>
                <w:bCs/>
              </w:rPr>
            </w:pPr>
            <w:r w:rsidRPr="00F16479">
              <w:rPr>
                <w:rFonts w:ascii="Arial" w:hAnsi="Arial" w:cs="Arial"/>
                <w:b/>
                <w:bCs/>
              </w:rPr>
              <w:t>T420</w:t>
            </w:r>
            <w:r w:rsidRPr="00F16479">
              <w:rPr>
                <w:rFonts w:ascii="Arial" w:hAnsi="Arial" w:cs="Arial"/>
                <w:b/>
                <w:bCs/>
                <w:color w:val="5B9BD5" w:themeColor="accent1"/>
              </w:rPr>
              <w:t>2</w:t>
            </w:r>
          </w:p>
        </w:tc>
      </w:tr>
      <w:tr w:rsidR="00F16479" w:rsidRPr="00F16479" w14:paraId="797E03D2"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3F3657C7" w14:textId="77777777" w:rsidR="00F16479" w:rsidRPr="00F16479" w:rsidRDefault="00F16479" w:rsidP="00F16479">
            <w:pPr>
              <w:spacing w:line="240" w:lineRule="atLeast"/>
              <w:rPr>
                <w:rFonts w:ascii="Arial" w:hAnsi="Arial" w:cs="Arial"/>
              </w:rPr>
            </w:pPr>
            <w:r w:rsidRPr="00F16479">
              <w:rPr>
                <w:rFonts w:ascii="Arial" w:hAnsi="Arial" w:cs="Arial"/>
              </w:rPr>
              <w:t>darunter: beim Bund</w:t>
            </w:r>
          </w:p>
        </w:tc>
        <w:tc>
          <w:tcPr>
            <w:tcW w:w="1080" w:type="dxa"/>
            <w:tcBorders>
              <w:top w:val="nil"/>
              <w:left w:val="nil"/>
              <w:bottom w:val="single" w:sz="4" w:space="0" w:color="auto"/>
              <w:right w:val="single" w:sz="4" w:space="0" w:color="auto"/>
            </w:tcBorders>
            <w:shd w:val="clear" w:color="000000" w:fill="FFFFFF"/>
            <w:vAlign w:val="center"/>
            <w:hideMark/>
          </w:tcPr>
          <w:p w14:paraId="22D25119" w14:textId="77777777" w:rsidR="00F16479" w:rsidRPr="00F16479" w:rsidRDefault="00F16479" w:rsidP="00F16479">
            <w:pPr>
              <w:spacing w:line="240" w:lineRule="atLeast"/>
              <w:rPr>
                <w:rFonts w:ascii="Arial" w:hAnsi="Arial" w:cs="Arial"/>
              </w:rPr>
            </w:pPr>
            <w:r w:rsidRPr="00F16479">
              <w:rPr>
                <w:rFonts w:ascii="Arial" w:hAnsi="Arial" w:cs="Arial"/>
              </w:rPr>
              <w:t>T423</w:t>
            </w:r>
            <w:r w:rsidRPr="00F16479">
              <w:rPr>
                <w:rFonts w:ascii="Arial" w:hAnsi="Arial" w:cs="Arial"/>
                <w:color w:val="5B9BD5" w:themeColor="accent1"/>
              </w:rPr>
              <w:t>2</w:t>
            </w:r>
          </w:p>
        </w:tc>
      </w:tr>
      <w:tr w:rsidR="00F16479" w:rsidRPr="00F16479" w14:paraId="3F74B359"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2658406" w14:textId="77777777" w:rsidR="00F16479" w:rsidRPr="00F16479" w:rsidRDefault="00F16479" w:rsidP="00F16479">
            <w:pPr>
              <w:spacing w:line="240" w:lineRule="atLeast"/>
              <w:rPr>
                <w:rFonts w:ascii="Arial" w:hAnsi="Arial" w:cs="Arial"/>
              </w:rPr>
            </w:pPr>
            <w:r w:rsidRPr="00F16479">
              <w:rPr>
                <w:rFonts w:ascii="Arial" w:hAnsi="Arial" w:cs="Arial"/>
              </w:rPr>
              <w:t>darunter: bei Ländern</w:t>
            </w:r>
          </w:p>
        </w:tc>
        <w:tc>
          <w:tcPr>
            <w:tcW w:w="1080" w:type="dxa"/>
            <w:tcBorders>
              <w:top w:val="nil"/>
              <w:left w:val="nil"/>
              <w:bottom w:val="single" w:sz="4" w:space="0" w:color="auto"/>
              <w:right w:val="single" w:sz="4" w:space="0" w:color="auto"/>
            </w:tcBorders>
            <w:shd w:val="clear" w:color="000000" w:fill="FFFFFF"/>
            <w:vAlign w:val="center"/>
            <w:hideMark/>
          </w:tcPr>
          <w:p w14:paraId="3B86DA62" w14:textId="77777777" w:rsidR="00F16479" w:rsidRPr="00F16479" w:rsidRDefault="00F16479" w:rsidP="00F16479">
            <w:pPr>
              <w:spacing w:line="240" w:lineRule="atLeast"/>
              <w:rPr>
                <w:rFonts w:ascii="Arial" w:hAnsi="Arial" w:cs="Arial"/>
              </w:rPr>
            </w:pPr>
            <w:r w:rsidRPr="00F16479">
              <w:rPr>
                <w:rFonts w:ascii="Arial" w:hAnsi="Arial" w:cs="Arial"/>
              </w:rPr>
              <w:t>T424</w:t>
            </w:r>
            <w:r w:rsidRPr="00F16479">
              <w:rPr>
                <w:rFonts w:ascii="Arial" w:hAnsi="Arial" w:cs="Arial"/>
                <w:color w:val="5B9BD5" w:themeColor="accent1"/>
              </w:rPr>
              <w:t>2</w:t>
            </w:r>
          </w:p>
        </w:tc>
      </w:tr>
      <w:tr w:rsidR="00F16479" w:rsidRPr="00F16479" w14:paraId="2BD656FC"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7B113DB0" w14:textId="77777777" w:rsidR="00F16479" w:rsidRPr="00F16479" w:rsidRDefault="00F16479" w:rsidP="00F16479">
            <w:pPr>
              <w:spacing w:line="240" w:lineRule="atLeast"/>
              <w:rPr>
                <w:rFonts w:ascii="Arial" w:hAnsi="Arial" w:cs="Arial"/>
              </w:rPr>
            </w:pPr>
            <w:r w:rsidRPr="00F16479">
              <w:rPr>
                <w:rFonts w:ascii="Arial" w:hAnsi="Arial" w:cs="Arial"/>
              </w:rPr>
              <w:t>darunter: bei Gemeinden/Gv.</w:t>
            </w:r>
          </w:p>
        </w:tc>
        <w:tc>
          <w:tcPr>
            <w:tcW w:w="1080" w:type="dxa"/>
            <w:tcBorders>
              <w:top w:val="nil"/>
              <w:left w:val="nil"/>
              <w:bottom w:val="single" w:sz="4" w:space="0" w:color="auto"/>
              <w:right w:val="single" w:sz="4" w:space="0" w:color="auto"/>
            </w:tcBorders>
            <w:shd w:val="clear" w:color="000000" w:fill="FFFFFF"/>
            <w:vAlign w:val="center"/>
            <w:hideMark/>
          </w:tcPr>
          <w:p w14:paraId="5F787967" w14:textId="77777777" w:rsidR="00F16479" w:rsidRPr="00F16479" w:rsidRDefault="00F16479" w:rsidP="00F16479">
            <w:pPr>
              <w:spacing w:line="240" w:lineRule="atLeast"/>
              <w:rPr>
                <w:rFonts w:ascii="Arial" w:hAnsi="Arial" w:cs="Arial"/>
              </w:rPr>
            </w:pPr>
            <w:r w:rsidRPr="00F16479">
              <w:rPr>
                <w:rFonts w:ascii="Arial" w:hAnsi="Arial" w:cs="Arial"/>
              </w:rPr>
              <w:t>T425</w:t>
            </w:r>
            <w:r w:rsidRPr="00F16479">
              <w:rPr>
                <w:rFonts w:ascii="Arial" w:hAnsi="Arial" w:cs="Arial"/>
                <w:color w:val="5B9BD5" w:themeColor="accent1"/>
              </w:rPr>
              <w:t>2</w:t>
            </w:r>
          </w:p>
        </w:tc>
      </w:tr>
      <w:tr w:rsidR="00F16479" w:rsidRPr="00F16479" w14:paraId="3AC565CE"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58D3D0F8" w14:textId="77777777" w:rsidR="00F16479" w:rsidRPr="00F16479" w:rsidRDefault="00F16479" w:rsidP="00F16479">
            <w:pPr>
              <w:spacing w:line="240" w:lineRule="atLeast"/>
              <w:rPr>
                <w:rFonts w:ascii="Arial" w:hAnsi="Arial" w:cs="Arial"/>
              </w:rPr>
            </w:pPr>
            <w:r w:rsidRPr="00F16479">
              <w:rPr>
                <w:rFonts w:ascii="Arial" w:hAnsi="Arial" w:cs="Arial"/>
              </w:rPr>
              <w:t>darunter: bei Zweckverbänden und dergleichen</w:t>
            </w:r>
          </w:p>
        </w:tc>
        <w:tc>
          <w:tcPr>
            <w:tcW w:w="1080" w:type="dxa"/>
            <w:tcBorders>
              <w:top w:val="nil"/>
              <w:left w:val="nil"/>
              <w:bottom w:val="single" w:sz="4" w:space="0" w:color="auto"/>
              <w:right w:val="single" w:sz="4" w:space="0" w:color="auto"/>
            </w:tcBorders>
            <w:shd w:val="clear" w:color="000000" w:fill="FFFFFF"/>
            <w:vAlign w:val="center"/>
            <w:hideMark/>
          </w:tcPr>
          <w:p w14:paraId="5104A89D" w14:textId="77777777" w:rsidR="00F16479" w:rsidRPr="00F16479" w:rsidRDefault="00F16479" w:rsidP="00F16479">
            <w:pPr>
              <w:spacing w:line="240" w:lineRule="atLeast"/>
              <w:rPr>
                <w:rFonts w:ascii="Arial" w:hAnsi="Arial" w:cs="Arial"/>
              </w:rPr>
            </w:pPr>
            <w:r w:rsidRPr="00F16479">
              <w:rPr>
                <w:rFonts w:ascii="Arial" w:hAnsi="Arial" w:cs="Arial"/>
              </w:rPr>
              <w:t>T426</w:t>
            </w:r>
            <w:r w:rsidRPr="00F16479">
              <w:rPr>
                <w:rFonts w:ascii="Arial" w:hAnsi="Arial" w:cs="Arial"/>
                <w:color w:val="5B9BD5" w:themeColor="accent1"/>
              </w:rPr>
              <w:t>2</w:t>
            </w:r>
          </w:p>
        </w:tc>
      </w:tr>
      <w:tr w:rsidR="00F16479" w:rsidRPr="00F16479" w14:paraId="1F5E6FAA"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41DF5059" w14:textId="77777777" w:rsidR="00F16479" w:rsidRPr="00F16479" w:rsidRDefault="00F16479" w:rsidP="00F16479">
            <w:pPr>
              <w:spacing w:line="240" w:lineRule="atLeast"/>
              <w:rPr>
                <w:rFonts w:ascii="Arial" w:hAnsi="Arial" w:cs="Arial"/>
              </w:rPr>
            </w:pPr>
            <w:r w:rsidRPr="00F16479">
              <w:rPr>
                <w:rFonts w:ascii="Arial" w:hAnsi="Arial" w:cs="Arial"/>
              </w:rPr>
              <w:t>darunter: bei der gesetzlichen Sozialversicherung</w:t>
            </w:r>
          </w:p>
        </w:tc>
        <w:tc>
          <w:tcPr>
            <w:tcW w:w="1080" w:type="dxa"/>
            <w:tcBorders>
              <w:top w:val="nil"/>
              <w:left w:val="nil"/>
              <w:bottom w:val="single" w:sz="4" w:space="0" w:color="auto"/>
              <w:right w:val="single" w:sz="4" w:space="0" w:color="auto"/>
            </w:tcBorders>
            <w:shd w:val="clear" w:color="000000" w:fill="FFFFFF"/>
            <w:vAlign w:val="center"/>
            <w:hideMark/>
          </w:tcPr>
          <w:p w14:paraId="2F1A4F3C" w14:textId="77777777" w:rsidR="00F16479" w:rsidRPr="00F16479" w:rsidRDefault="00F16479" w:rsidP="00F16479">
            <w:pPr>
              <w:spacing w:line="240" w:lineRule="atLeast"/>
              <w:rPr>
                <w:rFonts w:ascii="Arial" w:hAnsi="Arial" w:cs="Arial"/>
              </w:rPr>
            </w:pPr>
            <w:r w:rsidRPr="00F16479">
              <w:rPr>
                <w:rFonts w:ascii="Arial" w:hAnsi="Arial" w:cs="Arial"/>
              </w:rPr>
              <w:t>T427</w:t>
            </w:r>
            <w:r w:rsidRPr="00F16479">
              <w:rPr>
                <w:rFonts w:ascii="Arial" w:hAnsi="Arial" w:cs="Arial"/>
                <w:color w:val="5B9BD5" w:themeColor="accent1"/>
              </w:rPr>
              <w:t>2</w:t>
            </w:r>
          </w:p>
        </w:tc>
      </w:tr>
      <w:tr w:rsidR="00F16479" w:rsidRPr="00F16479" w14:paraId="145D7FCA"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04EE8F73" w14:textId="77777777" w:rsidR="00F16479" w:rsidRPr="00F16479" w:rsidRDefault="00F16479" w:rsidP="00F16479">
            <w:pPr>
              <w:spacing w:line="240" w:lineRule="atLeast"/>
              <w:rPr>
                <w:rFonts w:ascii="Arial" w:hAnsi="Arial" w:cs="Arial"/>
              </w:rPr>
            </w:pPr>
            <w:r w:rsidRPr="00F16479">
              <w:rPr>
                <w:rFonts w:ascii="Arial" w:hAnsi="Arial" w:cs="Arial"/>
              </w:rPr>
              <w:t>darunter: bei verbundenen Unternehmen, Beteiligungen</w:t>
            </w:r>
          </w:p>
        </w:tc>
        <w:tc>
          <w:tcPr>
            <w:tcW w:w="1080" w:type="dxa"/>
            <w:tcBorders>
              <w:top w:val="nil"/>
              <w:left w:val="nil"/>
              <w:bottom w:val="single" w:sz="4" w:space="0" w:color="auto"/>
              <w:right w:val="single" w:sz="4" w:space="0" w:color="auto"/>
            </w:tcBorders>
            <w:shd w:val="clear" w:color="000000" w:fill="FFFFFF"/>
            <w:vAlign w:val="center"/>
            <w:hideMark/>
          </w:tcPr>
          <w:p w14:paraId="4F01D537" w14:textId="77777777" w:rsidR="00F16479" w:rsidRPr="00F16479" w:rsidRDefault="00F16479" w:rsidP="00F16479">
            <w:pPr>
              <w:spacing w:line="240" w:lineRule="atLeast"/>
              <w:rPr>
                <w:rFonts w:ascii="Arial" w:hAnsi="Arial" w:cs="Arial"/>
              </w:rPr>
            </w:pPr>
            <w:r w:rsidRPr="00F16479">
              <w:rPr>
                <w:rFonts w:ascii="Arial" w:hAnsi="Arial" w:cs="Arial"/>
              </w:rPr>
              <w:t>T428</w:t>
            </w:r>
            <w:r w:rsidRPr="00F16479">
              <w:rPr>
                <w:rFonts w:ascii="Arial" w:hAnsi="Arial" w:cs="Arial"/>
                <w:color w:val="5B9BD5" w:themeColor="accent1"/>
              </w:rPr>
              <w:t>2</w:t>
            </w:r>
          </w:p>
        </w:tc>
      </w:tr>
      <w:tr w:rsidR="00F16479" w:rsidRPr="00F16479" w14:paraId="6233CA8F" w14:textId="77777777" w:rsidTr="00F16479">
        <w:trPr>
          <w:trHeight w:val="255"/>
        </w:trPr>
        <w:tc>
          <w:tcPr>
            <w:tcW w:w="7240" w:type="dxa"/>
            <w:tcBorders>
              <w:top w:val="nil"/>
              <w:left w:val="single" w:sz="4" w:space="0" w:color="auto"/>
              <w:bottom w:val="single" w:sz="4" w:space="0" w:color="auto"/>
              <w:right w:val="single" w:sz="4" w:space="0" w:color="auto"/>
            </w:tcBorders>
            <w:shd w:val="clear" w:color="000000" w:fill="FFFFFF"/>
            <w:vAlign w:val="center"/>
            <w:hideMark/>
          </w:tcPr>
          <w:p w14:paraId="61FC35EF" w14:textId="77777777" w:rsidR="00F16479" w:rsidRPr="00F16479" w:rsidRDefault="00F16479" w:rsidP="00F16479">
            <w:pPr>
              <w:spacing w:line="240" w:lineRule="atLeast"/>
              <w:rPr>
                <w:rFonts w:ascii="Arial" w:hAnsi="Arial" w:cs="Arial"/>
              </w:rPr>
            </w:pPr>
            <w:r w:rsidRPr="00F16479">
              <w:rPr>
                <w:rFonts w:ascii="Arial" w:hAnsi="Arial" w:cs="Arial"/>
              </w:rPr>
              <w:t>darunter: bei sonstigen öffentlichen Sonderrechnungen</w:t>
            </w:r>
          </w:p>
        </w:tc>
        <w:tc>
          <w:tcPr>
            <w:tcW w:w="1080" w:type="dxa"/>
            <w:tcBorders>
              <w:top w:val="nil"/>
              <w:left w:val="nil"/>
              <w:bottom w:val="single" w:sz="4" w:space="0" w:color="auto"/>
              <w:right w:val="single" w:sz="4" w:space="0" w:color="auto"/>
            </w:tcBorders>
            <w:shd w:val="clear" w:color="000000" w:fill="FFFFFF"/>
            <w:vAlign w:val="center"/>
            <w:hideMark/>
          </w:tcPr>
          <w:p w14:paraId="23ADEB97" w14:textId="77777777" w:rsidR="00F16479" w:rsidRPr="00F16479" w:rsidRDefault="00F16479" w:rsidP="00F16479">
            <w:pPr>
              <w:spacing w:line="240" w:lineRule="atLeast"/>
              <w:rPr>
                <w:rFonts w:ascii="Arial" w:hAnsi="Arial" w:cs="Arial"/>
              </w:rPr>
            </w:pPr>
            <w:r w:rsidRPr="00F16479">
              <w:rPr>
                <w:rFonts w:ascii="Arial" w:hAnsi="Arial" w:cs="Arial"/>
              </w:rPr>
              <w:t>T429</w:t>
            </w:r>
            <w:r w:rsidRPr="00F16479">
              <w:rPr>
                <w:rFonts w:ascii="Arial" w:hAnsi="Arial" w:cs="Arial"/>
                <w:color w:val="5B9BD5" w:themeColor="accent1"/>
              </w:rPr>
              <w:t>2</w:t>
            </w:r>
          </w:p>
        </w:tc>
      </w:tr>
    </w:tbl>
    <w:p w14:paraId="77EEAD75" w14:textId="77777777" w:rsidR="00F16479" w:rsidRPr="00F16479" w:rsidRDefault="00F16479" w:rsidP="00F16479">
      <w:pPr>
        <w:spacing w:line="240" w:lineRule="atLeast"/>
        <w:rPr>
          <w:rFonts w:ascii="Arial" w:hAnsi="Arial" w:cs="Arial"/>
        </w:rPr>
      </w:pPr>
    </w:p>
    <w:p w14:paraId="1A8155B8" w14:textId="77777777" w:rsidR="00F16479" w:rsidRPr="00F16479" w:rsidRDefault="00F16479" w:rsidP="00F16479">
      <w:pPr>
        <w:spacing w:line="240" w:lineRule="atLeast"/>
        <w:rPr>
          <w:rFonts w:ascii="Arial" w:hAnsi="Arial" w:cs="Arial"/>
        </w:rPr>
      </w:pPr>
      <w:r w:rsidRPr="00F16479">
        <w:rPr>
          <w:rFonts w:ascii="Arial" w:hAnsi="Arial" w:cs="Arial"/>
        </w:rPr>
        <w:t>Die Erhebung der Forderungen aus Cash-Pooling ist damit inhaltlich kongruent zur Erhebung in der jährlichen Finanzvermögenstatistik (Codes A3309 bis A3459).</w:t>
      </w:r>
    </w:p>
    <w:p w14:paraId="5B1478A7" w14:textId="6EC24331" w:rsidR="00265A17" w:rsidRPr="00C22A1C" w:rsidRDefault="00F16479" w:rsidP="00F16479">
      <w:pPr>
        <w:spacing w:line="240" w:lineRule="atLeast"/>
        <w:rPr>
          <w:rFonts w:ascii="Arial" w:hAnsi="Arial" w:cs="Arial"/>
          <w:b/>
        </w:rPr>
      </w:pPr>
      <w:r w:rsidRPr="00C22A1C">
        <w:rPr>
          <w:rFonts w:ascii="Arial" w:hAnsi="Arial" w:cs="Arial"/>
          <w:b/>
        </w:rPr>
        <w:t xml:space="preserve">Bitte stellen Sie sicher, dass ab dem 1. Quartal 2025 nur noch die </w:t>
      </w:r>
      <w:r w:rsidRPr="00C22A1C">
        <w:rPr>
          <w:rFonts w:ascii="Arial" w:hAnsi="Arial" w:cs="Arial"/>
          <w:b/>
          <w:color w:val="FF0000"/>
        </w:rPr>
        <w:t xml:space="preserve">neuen </w:t>
      </w:r>
      <w:r w:rsidRPr="00C22A1C">
        <w:rPr>
          <w:rFonts w:ascii="Arial" w:hAnsi="Arial" w:cs="Arial"/>
          <w:b/>
        </w:rPr>
        <w:t>Codes in der csv-Datei übermittelt werden. Eine Übermittlung der alten Codes ist über eSTATISTIK.Core dann nicht mehr möglich.</w:t>
      </w:r>
    </w:p>
    <w:p w14:paraId="3B657B5B" w14:textId="77777777" w:rsidR="00265A17" w:rsidRPr="00265A17" w:rsidRDefault="00265A17" w:rsidP="00265A17">
      <w:pPr>
        <w:spacing w:line="240" w:lineRule="atLeast"/>
        <w:rPr>
          <w:rFonts w:ascii="Arial" w:hAnsi="Arial" w:cs="Arial"/>
        </w:rPr>
      </w:pPr>
    </w:p>
    <w:p w14:paraId="3F3A1FFC" w14:textId="77777777" w:rsidR="00265A17" w:rsidRPr="00265A17" w:rsidRDefault="00265A17" w:rsidP="00265A17">
      <w:pPr>
        <w:keepNext/>
        <w:keepLines/>
        <w:spacing w:after="120" w:line="240" w:lineRule="atLeast"/>
        <w:outlineLvl w:val="2"/>
        <w:rPr>
          <w:rFonts w:ascii="Arial" w:eastAsiaTheme="majorEastAsia" w:hAnsi="Arial" w:cs="Arial"/>
          <w:i/>
          <w:color w:val="0A3776"/>
          <w:sz w:val="24"/>
          <w:szCs w:val="24"/>
          <w:u w:val="single"/>
        </w:rPr>
      </w:pPr>
      <w:bookmarkStart w:id="24" w:name="_Toc129756757"/>
      <w:bookmarkStart w:id="25" w:name="_Toc163112304"/>
      <w:bookmarkStart w:id="26" w:name="_Toc163112561"/>
      <w:bookmarkStart w:id="27" w:name="_Toc163112778"/>
      <w:bookmarkStart w:id="28" w:name="_Toc163112856"/>
      <w:bookmarkStart w:id="29" w:name="_Toc163114797"/>
      <w:r w:rsidRPr="00265A17">
        <w:rPr>
          <w:rFonts w:ascii="Arial" w:eastAsiaTheme="majorEastAsia" w:hAnsi="Arial" w:cs="Arial"/>
          <w:i/>
          <w:color w:val="0A3776"/>
          <w:sz w:val="24"/>
          <w:szCs w:val="24"/>
          <w:u w:val="single"/>
        </w:rPr>
        <w:lastRenderedPageBreak/>
        <w:t>Bargeld und Einlagen</w:t>
      </w:r>
      <w:bookmarkEnd w:id="24"/>
      <w:r w:rsidRPr="00265A17">
        <w:rPr>
          <w:rFonts w:ascii="Arial" w:eastAsiaTheme="majorEastAsia" w:hAnsi="Arial" w:cs="Arial"/>
          <w:i/>
          <w:color w:val="0A3776"/>
          <w:sz w:val="24"/>
          <w:szCs w:val="24"/>
          <w:u w:val="single"/>
        </w:rPr>
        <w:t xml:space="preserve"> sowie Ausleihungen an Kreditinstitute (Code T110 und T120)</w:t>
      </w:r>
      <w:bookmarkEnd w:id="25"/>
      <w:bookmarkEnd w:id="26"/>
      <w:bookmarkEnd w:id="27"/>
      <w:bookmarkEnd w:id="28"/>
      <w:bookmarkEnd w:id="29"/>
    </w:p>
    <w:p w14:paraId="33E9DCCA" w14:textId="77777777" w:rsidR="00265A17" w:rsidRPr="00265A17" w:rsidRDefault="00265A17" w:rsidP="00265A17">
      <w:pPr>
        <w:spacing w:line="240" w:lineRule="atLeast"/>
        <w:rPr>
          <w:rFonts w:ascii="Arial" w:hAnsi="Arial" w:cs="Arial"/>
        </w:rPr>
      </w:pPr>
      <w:r w:rsidRPr="00265A17">
        <w:rPr>
          <w:rFonts w:ascii="Arial" w:hAnsi="Arial" w:cs="Arial"/>
        </w:rPr>
        <w:t>Unter Bargeld sind Euromünzen, Eurobanknoten sowie Münzen und Banknoten in Fremdwährung zu verstehen. Fundierte Schätzungen für die Bestände an Bargeld sind zulässig.</w:t>
      </w:r>
    </w:p>
    <w:p w14:paraId="2DC80DD9" w14:textId="77777777" w:rsidR="00265A17" w:rsidRPr="00265A17" w:rsidRDefault="00265A17" w:rsidP="00265A17">
      <w:pPr>
        <w:spacing w:line="240" w:lineRule="atLeast"/>
        <w:rPr>
          <w:rFonts w:ascii="Arial" w:hAnsi="Arial" w:cs="Arial"/>
        </w:rPr>
      </w:pPr>
      <w:r w:rsidRPr="00265A17">
        <w:rPr>
          <w:rFonts w:ascii="Arial" w:hAnsi="Arial" w:cs="Arial"/>
        </w:rPr>
        <w:t>Um Einlagen handelt es sich nur, wenn der Schuldner ein Kreditinstitut ist. Einlagen bei institutionellen Einheiten, die keine Kreditinstitute sind, sind unter „Ausleihungen (inkl. Vergabe von liquiden Mitteln) und Kreditforderungen (inkl. Darlehen)“ auszuweisen. Zu den Einlagen zählen u.a. (Sicht-) Einlagen auf Konten bei Kreditinstituten (insbesondere Giro- und Tagesgeldkonten) und der Deutschen Bundesbank, Ausleihungen (Kredite) an Kreditinstitute, von Kreditinstituten gewährte Schuldscheindarlehen, Termineinlagen, Termingelder, Spareinlagen, Sparbücher, nicht-marktfähige Sparbriefe oder nicht-marktfähige Einlagenzertifikate, Einlagen (die auf besonderem Sparvertrag oder Ratensparvertrag beruhen, Einlagenpapiere von Bausparkassen und Kreditgenossenschaften, kurzfristige Rückkaufvereinbarungen, Namensschuldverschreibungen von Kreditinstituten, (geleistete) rückzahlbare Einschusszahlungen, bei Kreditinstituten gehaltene Einlagen von Liquiditätsverbände</w:t>
      </w:r>
    </w:p>
    <w:p w14:paraId="6EC7F6DA" w14:textId="77777777" w:rsidR="00265A17" w:rsidRPr="00265A17" w:rsidRDefault="00265A17" w:rsidP="00265A17"/>
    <w:p w14:paraId="0855EBCE"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 xml:space="preserve">Grundsätzlich: </w:t>
      </w:r>
    </w:p>
    <w:p w14:paraId="6343F2CF" w14:textId="77777777" w:rsidR="00265A17" w:rsidRPr="00265A17" w:rsidRDefault="00265A17" w:rsidP="00265A17">
      <w:pPr>
        <w:numPr>
          <w:ilvl w:val="0"/>
          <w:numId w:val="6"/>
        </w:numPr>
        <w:spacing w:line="240" w:lineRule="atLeast"/>
        <w:ind w:left="1423" w:hanging="357"/>
        <w:contextualSpacing/>
        <w:jc w:val="both"/>
        <w:rPr>
          <w:rFonts w:ascii="Arial" w:hAnsi="Arial" w:cs="Arial"/>
        </w:rPr>
      </w:pPr>
      <w:r w:rsidRPr="00265A17">
        <w:rPr>
          <w:rFonts w:ascii="Arial" w:hAnsi="Arial" w:cs="Arial"/>
        </w:rPr>
        <w:t>Es sind nur positive Bestände zu melden.</w:t>
      </w:r>
    </w:p>
    <w:p w14:paraId="40C6D926" w14:textId="77777777" w:rsidR="00265A17" w:rsidRPr="00265A17" w:rsidRDefault="00265A17" w:rsidP="00265A17">
      <w:pPr>
        <w:numPr>
          <w:ilvl w:val="0"/>
          <w:numId w:val="6"/>
        </w:numPr>
        <w:spacing w:line="240" w:lineRule="atLeast"/>
        <w:ind w:left="1423" w:hanging="357"/>
        <w:contextualSpacing/>
        <w:jc w:val="both"/>
        <w:rPr>
          <w:rFonts w:ascii="Arial" w:hAnsi="Arial" w:cs="Arial"/>
        </w:rPr>
      </w:pPr>
      <w:r w:rsidRPr="00265A17">
        <w:rPr>
          <w:rFonts w:ascii="Arial" w:hAnsi="Arial" w:cs="Arial"/>
        </w:rPr>
        <w:t>Eine Saldierung von positiven und negativen Kontoständen (Sichteinlagen) ist nicht zulässig.</w:t>
      </w:r>
    </w:p>
    <w:p w14:paraId="27855A80" w14:textId="77777777" w:rsidR="00265A17" w:rsidRPr="00265A17" w:rsidRDefault="00265A17" w:rsidP="00265A17">
      <w:pPr>
        <w:numPr>
          <w:ilvl w:val="0"/>
          <w:numId w:val="6"/>
        </w:numPr>
        <w:spacing w:line="240" w:lineRule="atLeast"/>
        <w:ind w:left="1423" w:hanging="357"/>
        <w:contextualSpacing/>
        <w:jc w:val="both"/>
        <w:rPr>
          <w:rFonts w:ascii="Arial" w:hAnsi="Arial" w:cs="Arial"/>
        </w:rPr>
      </w:pPr>
      <w:r w:rsidRPr="00265A17">
        <w:rPr>
          <w:rFonts w:ascii="Arial" w:hAnsi="Arial" w:cs="Arial"/>
        </w:rPr>
        <w:t xml:space="preserve">Negative Kontenbestände sind bei den Krediten zur Liquiditätssicherung unter dem entsprechenden P-Code zu melden, da es sich um Kontokorrentkredite (Überziehungskredite) handelt. </w:t>
      </w:r>
    </w:p>
    <w:p w14:paraId="41EDB638" w14:textId="77777777" w:rsidR="00265A17" w:rsidRPr="00265A17" w:rsidRDefault="00265A17" w:rsidP="00265A17">
      <w:pPr>
        <w:numPr>
          <w:ilvl w:val="0"/>
          <w:numId w:val="6"/>
        </w:numPr>
        <w:spacing w:line="240" w:lineRule="atLeast"/>
        <w:ind w:left="1423" w:hanging="357"/>
        <w:contextualSpacing/>
        <w:rPr>
          <w:rFonts w:ascii="Arial" w:hAnsi="Arial" w:cs="Arial"/>
          <w:b/>
          <w:i/>
        </w:rPr>
      </w:pPr>
      <w:r w:rsidRPr="00265A17">
        <w:rPr>
          <w:rFonts w:ascii="Arial" w:hAnsi="Arial" w:cs="Arial"/>
        </w:rPr>
        <w:t>Bestände in Fremdwährung sind zum Quartalsdurchschnitts-Wechselkurs umzurechnen.</w:t>
      </w:r>
    </w:p>
    <w:p w14:paraId="57745464" w14:textId="77777777" w:rsidR="00265A17" w:rsidRPr="00265A17" w:rsidRDefault="00265A17" w:rsidP="00265A17">
      <w:pPr>
        <w:spacing w:line="240" w:lineRule="atLeast"/>
        <w:ind w:left="708"/>
        <w:jc w:val="both"/>
        <w:rPr>
          <w:rFonts w:ascii="Arial" w:hAnsi="Arial" w:cs="Arial"/>
          <w:b/>
          <w:i/>
        </w:rPr>
      </w:pPr>
    </w:p>
    <w:p w14:paraId="24D65633" w14:textId="77777777" w:rsidR="00265A17" w:rsidRPr="00265A17" w:rsidRDefault="00265A17" w:rsidP="00265A17">
      <w:pPr>
        <w:spacing w:line="240" w:lineRule="atLeast"/>
        <w:ind w:left="708" w:firstLine="352"/>
        <w:jc w:val="both"/>
        <w:rPr>
          <w:rFonts w:ascii="Arial" w:hAnsi="Arial" w:cs="Arial"/>
          <w:b/>
          <w:i/>
        </w:rPr>
      </w:pPr>
      <w:r w:rsidRPr="00265A17">
        <w:rPr>
          <w:rFonts w:ascii="Arial" w:hAnsi="Arial" w:cs="Arial"/>
          <w:b/>
          <w:i/>
        </w:rPr>
        <w:t>Merkmale:</w:t>
      </w:r>
    </w:p>
    <w:p w14:paraId="4DB59C26" w14:textId="2F24D7D3" w:rsidR="00265A17" w:rsidRPr="00265A17" w:rsidRDefault="00265A17" w:rsidP="00265A17">
      <w:pPr>
        <w:numPr>
          <w:ilvl w:val="0"/>
          <w:numId w:val="5"/>
        </w:numPr>
        <w:spacing w:line="240" w:lineRule="atLeast"/>
        <w:ind w:left="1417" w:hanging="357"/>
        <w:contextualSpacing/>
        <w:jc w:val="both"/>
        <w:rPr>
          <w:rFonts w:ascii="Arial" w:hAnsi="Arial" w:cs="Arial"/>
        </w:rPr>
      </w:pPr>
      <w:r w:rsidRPr="00265A17">
        <w:rPr>
          <w:rFonts w:ascii="Arial" w:hAnsi="Arial" w:cs="Arial"/>
        </w:rPr>
        <w:t>T110: Bestand zum Ende des Quartals</w:t>
      </w:r>
      <w:r w:rsidR="00C22A1C">
        <w:rPr>
          <w:rFonts w:ascii="Arial" w:hAnsi="Arial" w:cs="Arial"/>
        </w:rPr>
        <w:t>.</w:t>
      </w:r>
    </w:p>
    <w:p w14:paraId="4B342B6E" w14:textId="06BCD2FC" w:rsidR="00265A17" w:rsidRPr="00265A17" w:rsidRDefault="00265A17" w:rsidP="00265A17">
      <w:pPr>
        <w:numPr>
          <w:ilvl w:val="0"/>
          <w:numId w:val="3"/>
        </w:numPr>
        <w:spacing w:line="240" w:lineRule="atLeast"/>
        <w:ind w:left="1417"/>
        <w:contextualSpacing/>
        <w:jc w:val="both"/>
      </w:pPr>
      <w:r w:rsidRPr="00265A17">
        <w:rPr>
          <w:rFonts w:ascii="Arial" w:hAnsi="Arial" w:cs="Arial"/>
        </w:rPr>
        <w:t>T120: B</w:t>
      </w:r>
      <w:r w:rsidR="00C22A1C">
        <w:rPr>
          <w:rFonts w:ascii="Arial" w:hAnsi="Arial" w:cs="Arial"/>
        </w:rPr>
        <w:t>estand zum Ende des Vorquartals.</w:t>
      </w:r>
    </w:p>
    <w:p w14:paraId="2B72FBB2" w14:textId="77777777" w:rsidR="00265A17" w:rsidRPr="00265A17" w:rsidRDefault="00265A17" w:rsidP="00265A17">
      <w:pPr>
        <w:spacing w:line="240" w:lineRule="atLeast"/>
        <w:ind w:left="708"/>
        <w:jc w:val="both"/>
        <w:rPr>
          <w:rFonts w:ascii="Arial" w:hAnsi="Arial" w:cs="Arial"/>
          <w:b/>
          <w:i/>
        </w:rPr>
      </w:pPr>
    </w:p>
    <w:p w14:paraId="752EA23E" w14:textId="77777777" w:rsidR="00265A17" w:rsidRPr="00265A17" w:rsidRDefault="00265A17" w:rsidP="00265A17">
      <w:pPr>
        <w:spacing w:line="240" w:lineRule="atLeast"/>
        <w:ind w:left="708" w:firstLine="349"/>
        <w:jc w:val="both"/>
        <w:rPr>
          <w:rFonts w:ascii="Arial" w:hAnsi="Arial" w:cs="Arial"/>
          <w:b/>
          <w:i/>
        </w:rPr>
      </w:pPr>
      <w:r w:rsidRPr="00265A17">
        <w:rPr>
          <w:rFonts w:ascii="Arial" w:hAnsi="Arial" w:cs="Arial"/>
          <w:b/>
          <w:i/>
        </w:rPr>
        <w:t>Zu melden sind hier insbesondere:</w:t>
      </w:r>
    </w:p>
    <w:p w14:paraId="191328C6" w14:textId="77777777" w:rsidR="00265A17" w:rsidRPr="00265A17" w:rsidRDefault="00265A17" w:rsidP="00265A17">
      <w:pPr>
        <w:numPr>
          <w:ilvl w:val="0"/>
          <w:numId w:val="7"/>
        </w:numPr>
        <w:spacing w:line="240" w:lineRule="atLeast"/>
        <w:ind w:left="1428"/>
        <w:contextualSpacing/>
        <w:jc w:val="both"/>
        <w:rPr>
          <w:rFonts w:ascii="Arial" w:hAnsi="Arial" w:cs="Arial"/>
        </w:rPr>
      </w:pPr>
      <w:r w:rsidRPr="00265A17">
        <w:rPr>
          <w:rFonts w:ascii="Arial" w:hAnsi="Arial" w:cs="Arial"/>
        </w:rPr>
        <w:t>Bestände von vorhandenen Barkassen (fundierte Schätzung zulässig).</w:t>
      </w:r>
    </w:p>
    <w:p w14:paraId="0F0FFE56" w14:textId="77777777" w:rsidR="00265A17" w:rsidRPr="00265A17" w:rsidRDefault="00265A17" w:rsidP="00C22A1C">
      <w:pPr>
        <w:numPr>
          <w:ilvl w:val="0"/>
          <w:numId w:val="7"/>
        </w:numPr>
        <w:spacing w:line="240" w:lineRule="atLeast"/>
        <w:ind w:left="1428"/>
        <w:contextualSpacing/>
        <w:rPr>
          <w:rFonts w:ascii="Arial" w:hAnsi="Arial" w:cs="Arial"/>
        </w:rPr>
      </w:pPr>
      <w:r w:rsidRPr="00265A17">
        <w:rPr>
          <w:rFonts w:ascii="Arial" w:hAnsi="Arial" w:cs="Arial"/>
        </w:rPr>
        <w:t>Guthaben auf Bankkonten (auch Cash-Pooling-Bestände des Cash-Pool-Führers), Spareinlagen, Sparbüchern und Guthaben bei Bausparkassen</w:t>
      </w:r>
    </w:p>
    <w:p w14:paraId="739CEAE0" w14:textId="77777777" w:rsidR="00265A17" w:rsidRPr="00265A17" w:rsidRDefault="00265A17" w:rsidP="00C22A1C">
      <w:pPr>
        <w:spacing w:line="240" w:lineRule="atLeast"/>
        <w:ind w:left="1428"/>
        <w:contextualSpacing/>
        <w:rPr>
          <w:rFonts w:ascii="Arial" w:hAnsi="Arial" w:cs="Arial"/>
        </w:rPr>
      </w:pPr>
      <w:r w:rsidRPr="00265A17">
        <w:rPr>
          <w:rFonts w:ascii="Arial" w:hAnsi="Arial" w:cs="Arial"/>
        </w:rPr>
        <w:t>Termineinlagen und –gelder.</w:t>
      </w:r>
    </w:p>
    <w:p w14:paraId="65EB9812" w14:textId="77777777" w:rsidR="00265A17" w:rsidRPr="00265A17" w:rsidRDefault="00265A17" w:rsidP="00265A17">
      <w:pPr>
        <w:spacing w:line="240" w:lineRule="atLeast"/>
        <w:ind w:left="708"/>
        <w:jc w:val="both"/>
        <w:rPr>
          <w:rFonts w:ascii="Arial" w:hAnsi="Arial" w:cs="Arial"/>
          <w:b/>
          <w:i/>
        </w:rPr>
      </w:pPr>
    </w:p>
    <w:p w14:paraId="1A35DEC1"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Nicht zu melden sind:</w:t>
      </w:r>
    </w:p>
    <w:p w14:paraId="1FAF6164" w14:textId="12293FC8" w:rsidR="00265A17" w:rsidRPr="00265A17" w:rsidRDefault="00265A17" w:rsidP="00265A17">
      <w:pPr>
        <w:numPr>
          <w:ilvl w:val="0"/>
          <w:numId w:val="8"/>
        </w:numPr>
        <w:spacing w:line="240" w:lineRule="atLeast"/>
        <w:ind w:left="1428"/>
        <w:contextualSpacing/>
        <w:jc w:val="both"/>
        <w:rPr>
          <w:rFonts w:ascii="Arial" w:hAnsi="Arial" w:cs="Arial"/>
        </w:rPr>
      </w:pPr>
      <w:r w:rsidRPr="00265A17">
        <w:rPr>
          <w:rFonts w:ascii="Arial" w:hAnsi="Arial" w:cs="Arial"/>
        </w:rPr>
        <w:t>Geldbestände bei Einheits- bzw. Amtskassen</w:t>
      </w:r>
      <w:r w:rsidR="00C22A1C">
        <w:rPr>
          <w:rFonts w:ascii="Arial" w:hAnsi="Arial" w:cs="Arial"/>
        </w:rPr>
        <w:t>.</w:t>
      </w:r>
      <w:r w:rsidRPr="00265A17">
        <w:rPr>
          <w:rFonts w:ascii="Arial" w:hAnsi="Arial" w:cs="Arial"/>
        </w:rPr>
        <w:t xml:space="preserve"> </w:t>
      </w:r>
    </w:p>
    <w:p w14:paraId="2637F38D" w14:textId="225708A2" w:rsidR="00265A17" w:rsidRPr="00265A17" w:rsidRDefault="00265A17" w:rsidP="00265A17">
      <w:pPr>
        <w:numPr>
          <w:ilvl w:val="0"/>
          <w:numId w:val="8"/>
        </w:numPr>
        <w:spacing w:line="240" w:lineRule="atLeast"/>
        <w:ind w:left="1428"/>
        <w:contextualSpacing/>
        <w:jc w:val="both"/>
        <w:rPr>
          <w:rFonts w:ascii="Arial" w:hAnsi="Arial" w:cs="Arial"/>
        </w:rPr>
      </w:pPr>
      <w:r w:rsidRPr="00265A17">
        <w:rPr>
          <w:rFonts w:ascii="Arial" w:hAnsi="Arial" w:cs="Arial"/>
        </w:rPr>
        <w:t>Anderen zur Verfügung gestelltes Geld i. S. v. Cash-Pooling</w:t>
      </w:r>
      <w:r w:rsidR="00C22A1C">
        <w:rPr>
          <w:rFonts w:ascii="Arial" w:hAnsi="Arial" w:cs="Arial"/>
        </w:rPr>
        <w:t>.</w:t>
      </w:r>
    </w:p>
    <w:p w14:paraId="4B8720DE" w14:textId="77777777" w:rsidR="00265A17" w:rsidRPr="00265A17" w:rsidRDefault="00265A17" w:rsidP="00265A17">
      <w:pPr>
        <w:spacing w:after="160" w:line="259" w:lineRule="auto"/>
        <w:rPr>
          <w:rFonts w:ascii="Arial" w:hAnsi="Arial" w:cs="Arial"/>
          <w:color w:val="054295"/>
          <w:u w:val="single"/>
        </w:rPr>
      </w:pPr>
      <w:r w:rsidRPr="00265A17">
        <w:rPr>
          <w:rFonts w:ascii="Arial" w:hAnsi="Arial" w:cs="Arial"/>
          <w:color w:val="054295"/>
          <w:u w:val="single"/>
        </w:rPr>
        <w:br w:type="page"/>
      </w:r>
      <w:bookmarkStart w:id="30" w:name="_Toc129756758"/>
    </w:p>
    <w:p w14:paraId="1A04CAC7" w14:textId="77777777" w:rsidR="00265A17" w:rsidRPr="00265A17" w:rsidRDefault="00265A17" w:rsidP="00265A17">
      <w:pPr>
        <w:keepNext/>
        <w:keepLines/>
        <w:spacing w:after="120" w:line="240" w:lineRule="atLeast"/>
        <w:outlineLvl w:val="2"/>
        <w:rPr>
          <w:rFonts w:ascii="Arial" w:eastAsiaTheme="majorEastAsia" w:hAnsi="Arial" w:cs="Arial"/>
          <w:i/>
          <w:color w:val="0A3776"/>
          <w:sz w:val="24"/>
          <w:szCs w:val="24"/>
          <w:u w:val="single"/>
        </w:rPr>
      </w:pPr>
      <w:bookmarkStart w:id="31" w:name="_Toc163112305"/>
      <w:bookmarkStart w:id="32" w:name="_Toc163112562"/>
      <w:bookmarkStart w:id="33" w:name="_Toc163112779"/>
      <w:bookmarkStart w:id="34" w:name="_Toc163112857"/>
      <w:bookmarkStart w:id="35" w:name="_Toc163114798"/>
      <w:r w:rsidRPr="00265A17">
        <w:rPr>
          <w:rFonts w:ascii="Arial" w:eastAsiaTheme="majorEastAsia" w:hAnsi="Arial" w:cs="Arial"/>
          <w:i/>
          <w:color w:val="0A3776"/>
          <w:sz w:val="24"/>
          <w:szCs w:val="24"/>
          <w:u w:val="single"/>
        </w:rPr>
        <w:lastRenderedPageBreak/>
        <w:t>Finanzderivat</w:t>
      </w:r>
      <w:bookmarkEnd w:id="30"/>
      <w:r w:rsidRPr="00265A17">
        <w:rPr>
          <w:rFonts w:ascii="Arial" w:eastAsiaTheme="majorEastAsia" w:hAnsi="Arial" w:cs="Arial"/>
          <w:i/>
          <w:color w:val="0A3776"/>
          <w:sz w:val="24"/>
          <w:szCs w:val="24"/>
          <w:u w:val="single"/>
        </w:rPr>
        <w:t>e (Code T630 und T640)</w:t>
      </w:r>
      <w:bookmarkEnd w:id="31"/>
      <w:bookmarkEnd w:id="32"/>
      <w:bookmarkEnd w:id="33"/>
      <w:bookmarkEnd w:id="34"/>
      <w:bookmarkEnd w:id="35"/>
    </w:p>
    <w:p w14:paraId="44E3FDDF" w14:textId="77777777" w:rsidR="00265A17" w:rsidRPr="00265A17" w:rsidRDefault="00265A17" w:rsidP="00265A17">
      <w:pPr>
        <w:autoSpaceDE w:val="0"/>
        <w:autoSpaceDN w:val="0"/>
        <w:adjustRightInd w:val="0"/>
        <w:spacing w:line="240" w:lineRule="auto"/>
        <w:rPr>
          <w:rFonts w:ascii="Arial" w:hAnsi="Arial" w:cs="Arial"/>
        </w:rPr>
      </w:pPr>
      <w:r w:rsidRPr="00265A17">
        <w:rPr>
          <w:rFonts w:ascii="Arial" w:hAnsi="Arial" w:cs="Arial"/>
        </w:rPr>
        <w:t xml:space="preserve">Finanzderivate sind finanzielle Vermögenswerte, die auf einem anderen Basiswert beruhen oder aus ihm abgeleitet sind. Bei dem einem Finanzderivat zugrundeliegenden Basiswert handelt es sich in der Regel um einen anderen finanziellen Vermögenswert, in bestimmten Fällen jedoch auch um eine Ware oder einen Index. </w:t>
      </w:r>
    </w:p>
    <w:p w14:paraId="798F3C15" w14:textId="77777777" w:rsidR="00265A17" w:rsidRPr="00265A17" w:rsidRDefault="00265A17" w:rsidP="00265A17">
      <w:pPr>
        <w:autoSpaceDE w:val="0"/>
        <w:autoSpaceDN w:val="0"/>
        <w:adjustRightInd w:val="0"/>
        <w:spacing w:line="240" w:lineRule="auto"/>
        <w:rPr>
          <w:rFonts w:ascii="Arial" w:hAnsi="Arial" w:cs="Arial"/>
        </w:rPr>
      </w:pPr>
      <w:r w:rsidRPr="00265A17">
        <w:rPr>
          <w:rFonts w:ascii="Arial" w:hAnsi="Arial" w:cs="Arial"/>
        </w:rPr>
        <w:t xml:space="preserve">Finanzderivate können Forderungen oder Verbindlichkeiten begründen und diesen Charakter im Zeitablauf wechseln. Aus Vereinfachungsgründen werden daher in dieser Zusatzerhebung Finanzielle Transaktionen in allen Finanzderivaten – unabhängig davon, ob sie als Aktiva oder Passiva geführt werden – erhoben. </w:t>
      </w:r>
    </w:p>
    <w:p w14:paraId="0700FD4D" w14:textId="77777777" w:rsidR="00265A17" w:rsidRPr="00265A17" w:rsidRDefault="00265A17" w:rsidP="00265A17">
      <w:pPr>
        <w:autoSpaceDE w:val="0"/>
        <w:autoSpaceDN w:val="0"/>
        <w:adjustRightInd w:val="0"/>
        <w:spacing w:line="240" w:lineRule="auto"/>
        <w:rPr>
          <w:rFonts w:ascii="Arial" w:hAnsi="Arial" w:cs="Arial"/>
        </w:rPr>
      </w:pPr>
      <w:r w:rsidRPr="00265A17">
        <w:rPr>
          <w:rFonts w:ascii="Arial" w:hAnsi="Arial" w:cs="Arial"/>
        </w:rPr>
        <w:t>Bei Finanziellen Transaktionen in Finanzderivaten handelt es sich um Transaktionen, die sich direkt aus dem Geschäft mit dem Finanzderivat ergeben und sich nicht auf den dem Finanzderivat zugrundeliegenden Vermögenswert beziehen. Beispiele für Finanzielle Transaktionen in Finanzderivaten sind Optionskäufe, Zinszahlungen im Rahmen von Swap- oder Termingeschäften sowie Zahlungsströme, die im Zusammenhang mit der Auflösung eines Finanzderivatekontrakts entstehen.</w:t>
      </w:r>
    </w:p>
    <w:p w14:paraId="4C021643" w14:textId="77777777" w:rsidR="00265A17" w:rsidRPr="00265A17" w:rsidRDefault="00265A17" w:rsidP="00265A17">
      <w:pPr>
        <w:autoSpaceDE w:val="0"/>
        <w:autoSpaceDN w:val="0"/>
        <w:adjustRightInd w:val="0"/>
        <w:spacing w:line="240" w:lineRule="auto"/>
        <w:rPr>
          <w:rFonts w:ascii="Arial" w:hAnsi="Arial" w:cs="Arial"/>
        </w:rPr>
      </w:pPr>
    </w:p>
    <w:p w14:paraId="071CF763" w14:textId="77777777" w:rsidR="00265A17" w:rsidRPr="00265A17" w:rsidRDefault="00265A17" w:rsidP="00265A17">
      <w:pPr>
        <w:spacing w:line="240" w:lineRule="atLeast"/>
        <w:ind w:left="360" w:firstLine="708"/>
        <w:jc w:val="both"/>
        <w:rPr>
          <w:rFonts w:ascii="Arial" w:hAnsi="Arial" w:cs="Arial"/>
          <w:b/>
          <w:i/>
        </w:rPr>
      </w:pPr>
      <w:r w:rsidRPr="00265A17">
        <w:rPr>
          <w:rFonts w:ascii="Arial" w:hAnsi="Arial" w:cs="Arial"/>
          <w:b/>
          <w:i/>
        </w:rPr>
        <w:t>Grundsätzlich:</w:t>
      </w:r>
    </w:p>
    <w:p w14:paraId="7D4B4BC8" w14:textId="77777777" w:rsidR="00265A17" w:rsidRPr="00265A17" w:rsidRDefault="00265A17" w:rsidP="00265A17">
      <w:pPr>
        <w:numPr>
          <w:ilvl w:val="0"/>
          <w:numId w:val="9"/>
        </w:numPr>
        <w:spacing w:line="240" w:lineRule="atLeast"/>
        <w:ind w:left="1428"/>
        <w:contextualSpacing/>
        <w:rPr>
          <w:rFonts w:ascii="Arial" w:hAnsi="Arial" w:cs="Arial"/>
        </w:rPr>
      </w:pPr>
      <w:r w:rsidRPr="00265A17">
        <w:rPr>
          <w:rFonts w:ascii="Arial" w:hAnsi="Arial" w:cs="Arial"/>
        </w:rPr>
        <w:t>Zahlungsflüsse i. V. m. dem Kauf bzw. Verkauf von Finanzderivaten sind nicht zu melden, sofern diese bereits unter den Konten 6848 bzw. 7848 gemeldet wurden.</w:t>
      </w:r>
    </w:p>
    <w:p w14:paraId="4CA7280C" w14:textId="77777777" w:rsidR="00265A17" w:rsidRPr="00265A17" w:rsidRDefault="00265A17" w:rsidP="00265A17">
      <w:pPr>
        <w:numPr>
          <w:ilvl w:val="0"/>
          <w:numId w:val="9"/>
        </w:numPr>
        <w:spacing w:line="240" w:lineRule="atLeast"/>
        <w:ind w:left="1428"/>
        <w:contextualSpacing/>
        <w:rPr>
          <w:rFonts w:ascii="Arial" w:hAnsi="Arial" w:cs="Arial"/>
        </w:rPr>
      </w:pPr>
      <w:r w:rsidRPr="00265A17">
        <w:rPr>
          <w:rFonts w:ascii="Arial" w:hAnsi="Arial" w:cs="Arial"/>
        </w:rPr>
        <w:t>Zu meldende Zahlen sind insbesondere in der KVKR-Kontengruppe 27 zu finden.</w:t>
      </w:r>
    </w:p>
    <w:p w14:paraId="43B83FE2" w14:textId="77777777" w:rsidR="00265A17" w:rsidRPr="00265A17" w:rsidRDefault="00265A17" w:rsidP="00265A17">
      <w:pPr>
        <w:spacing w:line="240" w:lineRule="atLeast"/>
        <w:ind w:left="708"/>
        <w:jc w:val="both"/>
        <w:rPr>
          <w:rFonts w:ascii="Arial" w:hAnsi="Arial" w:cs="Arial"/>
          <w:b/>
          <w:i/>
        </w:rPr>
      </w:pPr>
    </w:p>
    <w:p w14:paraId="0E778DAE"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Merkmale:</w:t>
      </w:r>
    </w:p>
    <w:p w14:paraId="1B83181E" w14:textId="08DE2E24" w:rsidR="00265A17" w:rsidRPr="00265A17" w:rsidRDefault="00265A17" w:rsidP="00265A17">
      <w:pPr>
        <w:numPr>
          <w:ilvl w:val="0"/>
          <w:numId w:val="4"/>
        </w:numPr>
        <w:spacing w:line="240" w:lineRule="atLeast"/>
        <w:ind w:left="1428"/>
        <w:contextualSpacing/>
        <w:jc w:val="both"/>
        <w:rPr>
          <w:rFonts w:ascii="Arial" w:hAnsi="Arial" w:cs="Arial"/>
        </w:rPr>
      </w:pPr>
      <w:r w:rsidRPr="00265A17">
        <w:rPr>
          <w:rFonts w:ascii="Arial" w:hAnsi="Arial" w:cs="Arial"/>
        </w:rPr>
        <w:t>T630: geleistete Zahlungen</w:t>
      </w:r>
      <w:r w:rsidR="00C22A1C">
        <w:rPr>
          <w:rFonts w:ascii="Arial" w:hAnsi="Arial" w:cs="Arial"/>
        </w:rPr>
        <w:t>.</w:t>
      </w:r>
    </w:p>
    <w:p w14:paraId="486F166B" w14:textId="283291F5" w:rsidR="00265A17" w:rsidRDefault="00265A17" w:rsidP="00C22A1C">
      <w:pPr>
        <w:numPr>
          <w:ilvl w:val="0"/>
          <w:numId w:val="4"/>
        </w:numPr>
        <w:spacing w:line="240" w:lineRule="atLeast"/>
        <w:ind w:left="1428"/>
        <w:contextualSpacing/>
        <w:jc w:val="both"/>
        <w:rPr>
          <w:rFonts w:ascii="Arial" w:hAnsi="Arial" w:cs="Arial"/>
        </w:rPr>
      </w:pPr>
      <w:r w:rsidRPr="00265A17">
        <w:rPr>
          <w:rFonts w:ascii="Arial" w:hAnsi="Arial" w:cs="Arial"/>
        </w:rPr>
        <w:t>T640: erhaltene Zahlungen</w:t>
      </w:r>
      <w:r w:rsidR="00C22A1C">
        <w:rPr>
          <w:rFonts w:ascii="Arial" w:hAnsi="Arial" w:cs="Arial"/>
        </w:rPr>
        <w:t>.</w:t>
      </w:r>
      <w:r w:rsidRPr="00265A17">
        <w:rPr>
          <w:rFonts w:ascii="Arial" w:hAnsi="Arial" w:cs="Arial"/>
        </w:rPr>
        <w:t xml:space="preserve"> </w:t>
      </w:r>
    </w:p>
    <w:p w14:paraId="441E79DE" w14:textId="77777777" w:rsidR="00C22A1C" w:rsidRPr="00C22A1C" w:rsidRDefault="00C22A1C" w:rsidP="00C22A1C">
      <w:pPr>
        <w:spacing w:line="240" w:lineRule="atLeast"/>
        <w:contextualSpacing/>
        <w:jc w:val="both"/>
        <w:rPr>
          <w:rFonts w:ascii="Arial" w:hAnsi="Arial" w:cs="Arial"/>
        </w:rPr>
      </w:pPr>
    </w:p>
    <w:p w14:paraId="68BBDC23"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 xml:space="preserve">Zu melden sind hier insbesondere: </w:t>
      </w:r>
    </w:p>
    <w:p w14:paraId="09F91FAE" w14:textId="77777777" w:rsidR="00265A17" w:rsidRPr="00265A17" w:rsidRDefault="00265A17" w:rsidP="00C22A1C">
      <w:pPr>
        <w:numPr>
          <w:ilvl w:val="1"/>
          <w:numId w:val="4"/>
        </w:numPr>
        <w:spacing w:line="240" w:lineRule="atLeast"/>
        <w:contextualSpacing/>
        <w:rPr>
          <w:rFonts w:ascii="Arial" w:hAnsi="Arial" w:cs="Arial"/>
        </w:rPr>
      </w:pPr>
      <w:r w:rsidRPr="00265A17">
        <w:rPr>
          <w:rFonts w:ascii="Arial" w:hAnsi="Arial" w:cs="Arial"/>
        </w:rPr>
        <w:t>Ausgleichs- oder Nettozahlungen i.V.m. Swap-Vereinbarungen und anderen Termingeschäften.</w:t>
      </w:r>
    </w:p>
    <w:p w14:paraId="35411E71" w14:textId="77777777" w:rsidR="00265A17" w:rsidRPr="00265A17" w:rsidRDefault="00265A17" w:rsidP="00C22A1C">
      <w:pPr>
        <w:numPr>
          <w:ilvl w:val="1"/>
          <w:numId w:val="4"/>
        </w:numPr>
        <w:spacing w:line="240" w:lineRule="atLeast"/>
        <w:contextualSpacing/>
        <w:rPr>
          <w:rFonts w:ascii="Arial" w:hAnsi="Arial" w:cs="Arial"/>
        </w:rPr>
      </w:pPr>
      <w:r w:rsidRPr="00265A17">
        <w:rPr>
          <w:rFonts w:ascii="Arial" w:hAnsi="Arial" w:cs="Arial"/>
        </w:rPr>
        <w:t>Zahlungen bei vorzeitiger Auflösung von Swaps.</w:t>
      </w:r>
    </w:p>
    <w:p w14:paraId="268CABC7" w14:textId="0CBCD4E3" w:rsidR="00265A17" w:rsidRPr="00265A17" w:rsidRDefault="00265A17" w:rsidP="00C22A1C">
      <w:pPr>
        <w:spacing w:line="240" w:lineRule="atLeast"/>
        <w:jc w:val="both"/>
        <w:rPr>
          <w:rFonts w:ascii="Arial" w:hAnsi="Arial" w:cs="Arial"/>
          <w:b/>
          <w:i/>
        </w:rPr>
      </w:pPr>
    </w:p>
    <w:p w14:paraId="7DA6B433"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Nicht zu melden sind:</w:t>
      </w:r>
    </w:p>
    <w:p w14:paraId="7F5C1098" w14:textId="77777777" w:rsidR="00265A17" w:rsidRPr="00265A17" w:rsidRDefault="00265A17" w:rsidP="00265A17">
      <w:pPr>
        <w:numPr>
          <w:ilvl w:val="0"/>
          <w:numId w:val="11"/>
        </w:numPr>
        <w:spacing w:line="240" w:lineRule="atLeast"/>
        <w:ind w:left="1428"/>
        <w:contextualSpacing/>
        <w:jc w:val="both"/>
        <w:rPr>
          <w:rFonts w:ascii="Arial" w:hAnsi="Arial" w:cs="Arial"/>
        </w:rPr>
      </w:pPr>
      <w:r w:rsidRPr="00265A17">
        <w:rPr>
          <w:rFonts w:ascii="Arial" w:hAnsi="Arial" w:cs="Arial"/>
        </w:rPr>
        <w:t>Zinsen aus den zugrundeliegenden Geschäften des Finanzderivates.</w:t>
      </w:r>
    </w:p>
    <w:p w14:paraId="09F59208" w14:textId="77777777" w:rsidR="00265A17" w:rsidRPr="00265A17" w:rsidRDefault="00265A17" w:rsidP="00265A17">
      <w:pPr>
        <w:spacing w:line="240" w:lineRule="atLeast"/>
        <w:ind w:left="1068"/>
        <w:jc w:val="both"/>
        <w:rPr>
          <w:rFonts w:ascii="Arial" w:hAnsi="Arial" w:cs="Arial"/>
          <w:szCs w:val="30"/>
        </w:rPr>
      </w:pPr>
    </w:p>
    <w:p w14:paraId="2CEFE54B" w14:textId="77777777" w:rsidR="00265A17" w:rsidRPr="00265A17" w:rsidRDefault="00265A17" w:rsidP="00265A17">
      <w:pPr>
        <w:spacing w:after="160" w:line="259" w:lineRule="auto"/>
        <w:rPr>
          <w:rFonts w:ascii="Arial" w:hAnsi="Arial" w:cs="Arial"/>
          <w:szCs w:val="30"/>
        </w:rPr>
      </w:pPr>
      <w:r w:rsidRPr="00265A17">
        <w:rPr>
          <w:rFonts w:ascii="Arial" w:hAnsi="Arial" w:cs="Arial"/>
          <w:szCs w:val="30"/>
        </w:rPr>
        <w:br w:type="page"/>
      </w:r>
    </w:p>
    <w:p w14:paraId="0A3C446B" w14:textId="77777777" w:rsidR="00265A17" w:rsidRPr="00265A17" w:rsidRDefault="00265A17" w:rsidP="00265A17">
      <w:pPr>
        <w:keepNext/>
        <w:keepLines/>
        <w:spacing w:after="120" w:line="240" w:lineRule="atLeast"/>
        <w:outlineLvl w:val="2"/>
        <w:rPr>
          <w:rFonts w:ascii="Arial" w:eastAsiaTheme="majorEastAsia" w:hAnsi="Arial" w:cs="Arial"/>
          <w:i/>
          <w:color w:val="0A3776"/>
          <w:sz w:val="24"/>
          <w:szCs w:val="24"/>
          <w:u w:val="single"/>
        </w:rPr>
      </w:pPr>
      <w:bookmarkStart w:id="36" w:name="_Toc129756759"/>
      <w:bookmarkStart w:id="37" w:name="_Toc163112306"/>
      <w:bookmarkStart w:id="38" w:name="_Toc163112563"/>
      <w:bookmarkStart w:id="39" w:name="_Toc163112780"/>
      <w:bookmarkStart w:id="40" w:name="_Toc163112858"/>
      <w:bookmarkStart w:id="41" w:name="_Toc163114799"/>
      <w:r w:rsidRPr="00265A17">
        <w:rPr>
          <w:rFonts w:ascii="Arial" w:eastAsiaTheme="majorEastAsia" w:hAnsi="Arial" w:cs="Arial"/>
          <w:i/>
          <w:color w:val="0A3776"/>
          <w:sz w:val="24"/>
          <w:szCs w:val="24"/>
          <w:u w:val="single"/>
        </w:rPr>
        <w:lastRenderedPageBreak/>
        <w:t>Weitere Forderungen</w:t>
      </w:r>
      <w:bookmarkEnd w:id="36"/>
      <w:r w:rsidRPr="00265A17">
        <w:rPr>
          <w:rFonts w:ascii="Arial" w:eastAsiaTheme="majorEastAsia" w:hAnsi="Arial" w:cs="Arial"/>
          <w:i/>
          <w:color w:val="0A3776"/>
          <w:sz w:val="24"/>
          <w:szCs w:val="24"/>
          <w:u w:val="single"/>
        </w:rPr>
        <w:t xml:space="preserve"> (Code T710 und T720)</w:t>
      </w:r>
      <w:bookmarkEnd w:id="37"/>
      <w:bookmarkEnd w:id="38"/>
      <w:bookmarkEnd w:id="39"/>
      <w:bookmarkEnd w:id="40"/>
      <w:bookmarkEnd w:id="41"/>
    </w:p>
    <w:p w14:paraId="45196C00" w14:textId="77777777" w:rsidR="00265A17" w:rsidRPr="00265A17" w:rsidRDefault="00265A17" w:rsidP="00265A17">
      <w:pPr>
        <w:spacing w:line="240" w:lineRule="atLeast"/>
        <w:rPr>
          <w:rFonts w:ascii="Arial" w:hAnsi="Arial" w:cs="Arial"/>
        </w:rPr>
      </w:pPr>
      <w:r w:rsidRPr="00265A17">
        <w:rPr>
          <w:rFonts w:ascii="Arial" w:hAnsi="Arial" w:cs="Arial"/>
        </w:rPr>
        <w:t>Berichtseinheiten, die immer zum Zeitpunkt der tatsächlichen Einzahlung bzw. Auszahlung eine haushälterisch kassenwirksame Buchung vornehmen, haben im Rahmen dieser Statistik keine „Weiteren Forderungen“ bzw. „Weitere Verbindlichkeiten“ zu melden. Im Falle von Abweichungen sind nachfolgende Hinweise zu beachten:</w:t>
      </w:r>
    </w:p>
    <w:p w14:paraId="7B511F80" w14:textId="77777777" w:rsidR="00265A17" w:rsidRPr="00265A17" w:rsidRDefault="00265A17" w:rsidP="00265A17">
      <w:pPr>
        <w:spacing w:line="240" w:lineRule="atLeast"/>
        <w:ind w:left="708"/>
        <w:jc w:val="both"/>
        <w:rPr>
          <w:rFonts w:ascii="Arial" w:hAnsi="Arial" w:cs="Arial"/>
          <w:b/>
          <w:i/>
        </w:rPr>
      </w:pPr>
    </w:p>
    <w:p w14:paraId="72327A17"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Grundsätzlich:</w:t>
      </w:r>
    </w:p>
    <w:p w14:paraId="1582C9A8" w14:textId="77777777" w:rsidR="00265A17" w:rsidRPr="00265A17" w:rsidRDefault="00265A17" w:rsidP="00265A17">
      <w:pPr>
        <w:spacing w:line="240" w:lineRule="atLeast"/>
        <w:ind w:left="708"/>
        <w:rPr>
          <w:rFonts w:ascii="Arial" w:hAnsi="Arial" w:cs="Arial"/>
        </w:rPr>
      </w:pPr>
      <w:r w:rsidRPr="00265A17">
        <w:rPr>
          <w:rFonts w:ascii="Arial" w:hAnsi="Arial" w:cs="Arial"/>
          <w:b/>
          <w:i/>
        </w:rPr>
        <w:tab/>
      </w:r>
      <w:r w:rsidRPr="00265A17">
        <w:rPr>
          <w:rFonts w:ascii="Arial" w:hAnsi="Arial" w:cs="Arial"/>
        </w:rPr>
        <w:t>„Weitere Forderungen“ sind insbesondere dann zu melden, wenn…</w:t>
      </w:r>
    </w:p>
    <w:p w14:paraId="557EEAE7" w14:textId="77777777" w:rsidR="00265A17" w:rsidRPr="00265A17" w:rsidRDefault="00265A17" w:rsidP="00265A17">
      <w:pPr>
        <w:spacing w:line="240" w:lineRule="atLeast"/>
        <w:ind w:left="708"/>
        <w:rPr>
          <w:rFonts w:ascii="Arial" w:hAnsi="Arial" w:cs="Arial"/>
        </w:rPr>
      </w:pPr>
    </w:p>
    <w:p w14:paraId="01067497" w14:textId="77777777" w:rsidR="00265A17" w:rsidRP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…eine Einnahme haushälterisch im Meldequartal gebucht wurde, die entsprechende Einzahlung aber erst in einem Folgequartal eingeht bzw. eine Auszahlung im Meldequartal geleistet wurde, die Ausgabe aber erst in einem Folgequartal haushälterisch kassenwirksam gebucht wird.</w:t>
      </w:r>
    </w:p>
    <w:p w14:paraId="6FB38212" w14:textId="2EA26E4D" w:rsid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…durchlaufende Gelder im Meldequartal an einen Dritten ausgezahlt wurden, obwohl die durchzuleitenden Gelder vom Einzahler erst in einem Folgequartal eingezahlt werden.</w:t>
      </w:r>
    </w:p>
    <w:p w14:paraId="286E4DAD" w14:textId="77777777" w:rsidR="00BC0062" w:rsidRPr="00265A17" w:rsidRDefault="00BC0062" w:rsidP="00BC0062">
      <w:pPr>
        <w:spacing w:line="240" w:lineRule="atLeast"/>
        <w:ind w:left="1428"/>
        <w:contextualSpacing/>
        <w:rPr>
          <w:rFonts w:ascii="Arial" w:hAnsi="Arial" w:cs="Arial"/>
        </w:rPr>
      </w:pPr>
    </w:p>
    <w:p w14:paraId="79C199EF" w14:textId="7F4332D2" w:rsidR="00265A17" w:rsidRPr="00C22A1C" w:rsidRDefault="00265A17" w:rsidP="00C22A1C">
      <w:pPr>
        <w:numPr>
          <w:ilvl w:val="0"/>
          <w:numId w:val="12"/>
        </w:numPr>
        <w:spacing w:line="240" w:lineRule="atLeast"/>
        <w:ind w:left="1428"/>
        <w:contextualSpacing/>
        <w:rPr>
          <w:rFonts w:ascii="Arial" w:hAnsi="Arial" w:cs="Arial"/>
          <w:b/>
          <w:i/>
        </w:rPr>
      </w:pPr>
      <w:r w:rsidRPr="00265A17">
        <w:rPr>
          <w:rFonts w:ascii="Arial" w:hAnsi="Arial" w:cs="Arial"/>
        </w:rPr>
        <w:t>Bestände in Fremdwährung sind zum Quartalsdurchschnitts-Wechselkurs umzurechnen.</w:t>
      </w:r>
    </w:p>
    <w:p w14:paraId="133B63B5" w14:textId="77777777" w:rsidR="00265A17" w:rsidRPr="00265A17" w:rsidRDefault="00265A17" w:rsidP="00265A17">
      <w:pPr>
        <w:spacing w:line="240" w:lineRule="atLeast"/>
        <w:ind w:left="1428"/>
        <w:contextualSpacing/>
        <w:jc w:val="both"/>
        <w:rPr>
          <w:rFonts w:ascii="Arial" w:hAnsi="Arial" w:cs="Arial"/>
          <w:b/>
          <w:i/>
        </w:rPr>
      </w:pPr>
    </w:p>
    <w:p w14:paraId="686CD039"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Merkmale:</w:t>
      </w:r>
    </w:p>
    <w:p w14:paraId="317D00C3" w14:textId="0C1D0A9D" w:rsidR="00265A17" w:rsidRPr="00265A17" w:rsidRDefault="00265A17" w:rsidP="00265A17">
      <w:pPr>
        <w:numPr>
          <w:ilvl w:val="0"/>
          <w:numId w:val="3"/>
        </w:numPr>
        <w:spacing w:line="240" w:lineRule="atLeast"/>
        <w:ind w:left="1428"/>
        <w:contextualSpacing/>
        <w:jc w:val="both"/>
        <w:rPr>
          <w:rFonts w:ascii="Arial" w:hAnsi="Arial" w:cs="Arial"/>
        </w:rPr>
      </w:pPr>
      <w:r w:rsidRPr="00265A17">
        <w:rPr>
          <w:rFonts w:ascii="Arial" w:hAnsi="Arial" w:cs="Arial"/>
        </w:rPr>
        <w:t>T710: Bestand zum Ende des Quartals</w:t>
      </w:r>
      <w:r w:rsidR="00C22A1C">
        <w:rPr>
          <w:rFonts w:ascii="Arial" w:hAnsi="Arial" w:cs="Arial"/>
        </w:rPr>
        <w:t>.</w:t>
      </w:r>
    </w:p>
    <w:p w14:paraId="2392FB74" w14:textId="1E27F754" w:rsidR="00265A17" w:rsidRPr="00265A17" w:rsidRDefault="00265A17" w:rsidP="00265A17">
      <w:pPr>
        <w:numPr>
          <w:ilvl w:val="0"/>
          <w:numId w:val="3"/>
        </w:numPr>
        <w:spacing w:line="240" w:lineRule="atLeast"/>
        <w:ind w:left="1428"/>
        <w:contextualSpacing/>
        <w:jc w:val="both"/>
        <w:rPr>
          <w:rFonts w:ascii="Arial" w:hAnsi="Arial" w:cs="Arial"/>
        </w:rPr>
      </w:pPr>
      <w:r w:rsidRPr="00265A17">
        <w:rPr>
          <w:rFonts w:ascii="Arial" w:hAnsi="Arial" w:cs="Arial"/>
        </w:rPr>
        <w:t>T720: Bestand zum Ende des Vorquartals</w:t>
      </w:r>
      <w:r w:rsidR="00C22A1C">
        <w:rPr>
          <w:rFonts w:ascii="Arial" w:hAnsi="Arial" w:cs="Arial"/>
        </w:rPr>
        <w:t>.</w:t>
      </w:r>
    </w:p>
    <w:p w14:paraId="25A67363" w14:textId="7647E199" w:rsidR="00265A17" w:rsidRPr="00265A17" w:rsidRDefault="00265A17" w:rsidP="00C22A1C">
      <w:pPr>
        <w:spacing w:line="240" w:lineRule="atLeast"/>
        <w:contextualSpacing/>
        <w:jc w:val="both"/>
        <w:rPr>
          <w:rFonts w:ascii="Arial" w:hAnsi="Arial" w:cs="Arial"/>
        </w:rPr>
      </w:pPr>
    </w:p>
    <w:p w14:paraId="7DA56A23"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Zu melden sind hier insbesondere:</w:t>
      </w:r>
    </w:p>
    <w:p w14:paraId="4DE5C45D" w14:textId="77777777" w:rsidR="00265A17" w:rsidRPr="00265A17" w:rsidRDefault="00265A17" w:rsidP="00265A17">
      <w:pPr>
        <w:numPr>
          <w:ilvl w:val="0"/>
          <w:numId w:val="13"/>
        </w:numPr>
        <w:spacing w:line="240" w:lineRule="atLeast"/>
        <w:ind w:left="1428"/>
        <w:contextualSpacing/>
        <w:jc w:val="both"/>
        <w:rPr>
          <w:rFonts w:ascii="Arial" w:hAnsi="Arial" w:cs="Arial"/>
        </w:rPr>
      </w:pPr>
      <w:r w:rsidRPr="00265A17">
        <w:rPr>
          <w:rFonts w:ascii="Arial" w:hAnsi="Arial" w:cs="Arial"/>
        </w:rPr>
        <w:t>Im Fall von durchlaufenden Geldern, wenn die Auszahlung vor Einzahlung der durchzuleitenden Gelder erfolgte.</w:t>
      </w:r>
    </w:p>
    <w:p w14:paraId="02AB032C" w14:textId="0623C4D6" w:rsidR="00265A17" w:rsidRPr="00265A17" w:rsidRDefault="00265A17" w:rsidP="00265A17">
      <w:pPr>
        <w:numPr>
          <w:ilvl w:val="0"/>
          <w:numId w:val="13"/>
        </w:numPr>
        <w:spacing w:line="240" w:lineRule="atLeast"/>
        <w:ind w:left="1428"/>
        <w:contextualSpacing/>
        <w:jc w:val="both"/>
        <w:rPr>
          <w:rFonts w:ascii="Arial" w:hAnsi="Arial" w:cs="Arial"/>
        </w:rPr>
      </w:pPr>
      <w:r w:rsidRPr="00265A17">
        <w:rPr>
          <w:rFonts w:ascii="Arial" w:hAnsi="Arial" w:cs="Arial"/>
        </w:rPr>
        <w:t>Forderungen i. V. m. Steuern und Sozialbeiträgen</w:t>
      </w:r>
      <w:r w:rsidR="00C22A1C">
        <w:rPr>
          <w:rFonts w:ascii="Arial" w:hAnsi="Arial" w:cs="Arial"/>
        </w:rPr>
        <w:t>.</w:t>
      </w:r>
    </w:p>
    <w:p w14:paraId="660F6B69" w14:textId="02AAD16A" w:rsidR="00265A17" w:rsidRPr="00265A17" w:rsidRDefault="00265A17" w:rsidP="00C22A1C">
      <w:pPr>
        <w:spacing w:line="240" w:lineRule="atLeast"/>
        <w:jc w:val="both"/>
        <w:rPr>
          <w:rFonts w:ascii="Arial" w:hAnsi="Arial" w:cs="Arial"/>
          <w:b/>
          <w:i/>
        </w:rPr>
      </w:pPr>
    </w:p>
    <w:p w14:paraId="789875BB"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Nicht zu melden sind:</w:t>
      </w:r>
    </w:p>
    <w:p w14:paraId="0BE977EE" w14:textId="77777777" w:rsidR="00265A17" w:rsidRPr="00265A17" w:rsidRDefault="00265A17" w:rsidP="00265A17">
      <w:pPr>
        <w:numPr>
          <w:ilvl w:val="0"/>
          <w:numId w:val="14"/>
        </w:numPr>
        <w:spacing w:line="240" w:lineRule="atLeast"/>
        <w:ind w:left="1428"/>
        <w:contextualSpacing/>
        <w:rPr>
          <w:rFonts w:ascii="Arial" w:hAnsi="Arial" w:cs="Arial"/>
        </w:rPr>
      </w:pPr>
      <w:r w:rsidRPr="00265A17">
        <w:rPr>
          <w:rFonts w:ascii="Arial" w:hAnsi="Arial" w:cs="Arial"/>
        </w:rPr>
        <w:t>Forderungen gegenüber der eigenen Ebene: Gemeinden/ Landkreise/ LWV/ Extrahaushalte (=Ausgliederungen, die nach VGR dem Sektor Staat angehören).</w:t>
      </w:r>
    </w:p>
    <w:p w14:paraId="16AA95A5" w14:textId="77777777" w:rsidR="00265A17" w:rsidRPr="00265A17" w:rsidRDefault="00265A17" w:rsidP="00265A17">
      <w:pPr>
        <w:spacing w:after="160" w:line="259" w:lineRule="auto"/>
        <w:rPr>
          <w:rFonts w:ascii="Arial" w:hAnsi="Arial" w:cs="Arial"/>
        </w:rPr>
      </w:pPr>
      <w:bookmarkStart w:id="42" w:name="_Toc129756760"/>
    </w:p>
    <w:p w14:paraId="293B868D" w14:textId="77777777" w:rsidR="00265A17" w:rsidRPr="00265A17" w:rsidRDefault="00265A17" w:rsidP="00265A17">
      <w:pPr>
        <w:spacing w:after="160" w:line="259" w:lineRule="auto"/>
        <w:rPr>
          <w:rFonts w:ascii="Arial" w:eastAsiaTheme="majorEastAsia" w:hAnsi="Arial" w:cs="Arial"/>
          <w:i/>
          <w:color w:val="0A3776"/>
          <w:sz w:val="24"/>
          <w:szCs w:val="24"/>
          <w:u w:val="single"/>
        </w:rPr>
      </w:pPr>
      <w:bookmarkStart w:id="43" w:name="_Toc163112307"/>
      <w:bookmarkStart w:id="44" w:name="_Toc163112564"/>
      <w:bookmarkStart w:id="45" w:name="_Toc163112781"/>
      <w:bookmarkStart w:id="46" w:name="_Toc163112859"/>
      <w:r w:rsidRPr="00265A17">
        <w:rPr>
          <w:rFonts w:ascii="Arial" w:hAnsi="Arial" w:cs="Arial"/>
          <w:i/>
          <w:color w:val="0A3776"/>
          <w:u w:val="single"/>
        </w:rPr>
        <w:br w:type="page"/>
      </w:r>
    </w:p>
    <w:p w14:paraId="6BA59E1F" w14:textId="77777777" w:rsidR="00265A17" w:rsidRPr="00265A17" w:rsidRDefault="00265A17" w:rsidP="00265A17">
      <w:pPr>
        <w:keepNext/>
        <w:keepLines/>
        <w:spacing w:after="120" w:line="240" w:lineRule="atLeast"/>
        <w:outlineLvl w:val="2"/>
        <w:rPr>
          <w:rFonts w:ascii="Arial" w:eastAsiaTheme="majorEastAsia" w:hAnsi="Arial" w:cs="Arial"/>
          <w:i/>
          <w:color w:val="0A3776"/>
          <w:sz w:val="24"/>
          <w:szCs w:val="24"/>
          <w:u w:val="single"/>
        </w:rPr>
      </w:pPr>
      <w:bookmarkStart w:id="47" w:name="_Toc163114800"/>
      <w:r w:rsidRPr="00265A17">
        <w:rPr>
          <w:rFonts w:ascii="Arial" w:eastAsiaTheme="majorEastAsia" w:hAnsi="Arial" w:cs="Arial"/>
          <w:i/>
          <w:color w:val="0A3776"/>
          <w:sz w:val="24"/>
          <w:szCs w:val="24"/>
          <w:u w:val="single"/>
        </w:rPr>
        <w:lastRenderedPageBreak/>
        <w:t>Weitere Verbindlichkeiten</w:t>
      </w:r>
      <w:bookmarkEnd w:id="42"/>
      <w:r w:rsidRPr="00265A17">
        <w:rPr>
          <w:rFonts w:ascii="Arial" w:eastAsiaTheme="majorEastAsia" w:hAnsi="Arial" w:cs="Arial"/>
          <w:i/>
          <w:color w:val="0A3776"/>
          <w:sz w:val="24"/>
          <w:szCs w:val="24"/>
          <w:u w:val="single"/>
        </w:rPr>
        <w:t xml:space="preserve"> (Code T810 und T820)</w:t>
      </w:r>
      <w:bookmarkEnd w:id="43"/>
      <w:bookmarkEnd w:id="44"/>
      <w:bookmarkEnd w:id="45"/>
      <w:bookmarkEnd w:id="46"/>
      <w:bookmarkEnd w:id="47"/>
    </w:p>
    <w:p w14:paraId="4BAFEF5E" w14:textId="77777777" w:rsidR="00265A17" w:rsidRPr="00265A17" w:rsidRDefault="00265A17" w:rsidP="00265A17">
      <w:pPr>
        <w:spacing w:line="240" w:lineRule="atLeast"/>
        <w:rPr>
          <w:rFonts w:ascii="Arial" w:hAnsi="Arial" w:cs="Arial"/>
        </w:rPr>
      </w:pPr>
      <w:r w:rsidRPr="00265A17">
        <w:rPr>
          <w:rFonts w:ascii="Arial" w:hAnsi="Arial" w:cs="Arial"/>
        </w:rPr>
        <w:t>Berichtseinheiten, die immer zum Zeitpunkt der tatsächlichen Einzahlung bzw. Auszahlung eine haushälterisch kassenwirksame Buchung vornehmen, haben im Rahmen der Vierteljährlichen Kassenstatistik keine „Weiteren Forderungen“ bzw. „Weitere Verbindlichkeiten“ zu melden. Im Falle von Abweichungen sind nachfolgende Hinweise zu beachten:</w:t>
      </w:r>
    </w:p>
    <w:p w14:paraId="377EB666" w14:textId="77777777" w:rsidR="00265A17" w:rsidRPr="00265A17" w:rsidRDefault="00265A17" w:rsidP="00265A17">
      <w:pPr>
        <w:spacing w:line="240" w:lineRule="atLeast"/>
        <w:ind w:left="708" w:firstLine="360"/>
        <w:rPr>
          <w:rFonts w:ascii="Arial" w:hAnsi="Arial" w:cs="Arial"/>
          <w:b/>
          <w:i/>
        </w:rPr>
      </w:pPr>
    </w:p>
    <w:p w14:paraId="13284B50" w14:textId="77777777" w:rsidR="00265A17" w:rsidRPr="00265A17" w:rsidRDefault="00265A17" w:rsidP="00265A17">
      <w:pPr>
        <w:spacing w:line="240" w:lineRule="atLeast"/>
        <w:ind w:left="708" w:firstLine="360"/>
        <w:rPr>
          <w:rFonts w:ascii="Arial" w:hAnsi="Arial" w:cs="Arial"/>
          <w:b/>
          <w:i/>
        </w:rPr>
      </w:pPr>
      <w:r w:rsidRPr="00265A17">
        <w:rPr>
          <w:rFonts w:ascii="Arial" w:hAnsi="Arial" w:cs="Arial"/>
          <w:b/>
          <w:i/>
        </w:rPr>
        <w:t>Grundsätzlich:</w:t>
      </w:r>
    </w:p>
    <w:p w14:paraId="0BDDF0E4" w14:textId="77777777" w:rsidR="00265A17" w:rsidRPr="00265A17" w:rsidRDefault="00265A17" w:rsidP="00265A17">
      <w:pPr>
        <w:spacing w:line="240" w:lineRule="atLeast"/>
        <w:ind w:left="708" w:firstLine="360"/>
        <w:rPr>
          <w:rFonts w:ascii="Arial" w:hAnsi="Arial" w:cs="Arial"/>
        </w:rPr>
      </w:pPr>
      <w:r w:rsidRPr="00265A17">
        <w:rPr>
          <w:rFonts w:ascii="Arial" w:hAnsi="Arial" w:cs="Arial"/>
        </w:rPr>
        <w:t>„Weitere Verbindlichkeiten“ sind insbesondere dann zu melden, wenn…</w:t>
      </w:r>
    </w:p>
    <w:p w14:paraId="5C6F107A" w14:textId="77777777" w:rsidR="00265A17" w:rsidRPr="00265A17" w:rsidRDefault="00265A17" w:rsidP="00265A17">
      <w:pPr>
        <w:spacing w:line="240" w:lineRule="atLeast"/>
        <w:ind w:left="708"/>
        <w:rPr>
          <w:rFonts w:ascii="Arial" w:hAnsi="Arial" w:cs="Arial"/>
        </w:rPr>
      </w:pPr>
    </w:p>
    <w:p w14:paraId="2BD7F442" w14:textId="77777777" w:rsidR="00265A17" w:rsidRP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…eine Einzahlung im Meldequartal eingegangen ist, diese aber erst in einem Folgequartal als kassenwirksame Einnahme gebucht wird.</w:t>
      </w:r>
    </w:p>
    <w:p w14:paraId="16C25CF3" w14:textId="77777777" w:rsidR="00265A17" w:rsidRP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…eine Auszahlungsanweisung im Meldequartal an die Bank übergeben und als kassenwirksame Ausgabe gebucht wurde, die tatsächliche Auszahlung aber erst in einem Folgequartal vom Bankkonto abfließt.</w:t>
      </w:r>
    </w:p>
    <w:p w14:paraId="39748901" w14:textId="77777777" w:rsidR="00265A17" w:rsidRP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…durchlaufende Gelder, die im Meldequartal auf dem Bankkonto eingezahlt wurden, aber erst im Folgequartal ausgezahlt werden.</w:t>
      </w:r>
    </w:p>
    <w:p w14:paraId="46B8C414" w14:textId="77777777" w:rsidR="00265A17" w:rsidRPr="00265A17" w:rsidRDefault="00265A17" w:rsidP="00265A17">
      <w:pPr>
        <w:numPr>
          <w:ilvl w:val="0"/>
          <w:numId w:val="12"/>
        </w:numPr>
        <w:spacing w:line="240" w:lineRule="atLeast"/>
        <w:ind w:left="1428"/>
        <w:contextualSpacing/>
        <w:rPr>
          <w:rFonts w:ascii="Arial" w:hAnsi="Arial" w:cs="Arial"/>
        </w:rPr>
      </w:pPr>
      <w:r w:rsidRPr="00265A17">
        <w:rPr>
          <w:rFonts w:ascii="Arial" w:hAnsi="Arial" w:cs="Arial"/>
        </w:rPr>
        <w:t>…Bestände in Fremdwährung zum Quartalsdurchschnitts-Wechselkurs umzurechnen sind.</w:t>
      </w:r>
    </w:p>
    <w:p w14:paraId="39470F81" w14:textId="77777777" w:rsidR="00265A17" w:rsidRPr="00265A17" w:rsidRDefault="00265A17" w:rsidP="00265A17">
      <w:pPr>
        <w:spacing w:line="240" w:lineRule="atLeast"/>
        <w:ind w:left="708"/>
        <w:jc w:val="both"/>
        <w:rPr>
          <w:rFonts w:ascii="Arial" w:hAnsi="Arial" w:cs="Arial"/>
          <w:b/>
          <w:i/>
        </w:rPr>
      </w:pPr>
    </w:p>
    <w:p w14:paraId="762A9257"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Merkmale:</w:t>
      </w:r>
    </w:p>
    <w:p w14:paraId="5A3D0293" w14:textId="1F280435" w:rsidR="00265A17" w:rsidRPr="00265A17" w:rsidRDefault="00265A17" w:rsidP="00265A17">
      <w:pPr>
        <w:numPr>
          <w:ilvl w:val="0"/>
          <w:numId w:val="3"/>
        </w:numPr>
        <w:spacing w:line="240" w:lineRule="atLeast"/>
        <w:ind w:left="1428"/>
        <w:contextualSpacing/>
        <w:jc w:val="both"/>
        <w:rPr>
          <w:rFonts w:ascii="Arial" w:hAnsi="Arial" w:cs="Arial"/>
        </w:rPr>
      </w:pPr>
      <w:r w:rsidRPr="00265A17">
        <w:rPr>
          <w:rFonts w:ascii="Arial" w:hAnsi="Arial" w:cs="Arial"/>
        </w:rPr>
        <w:t>T810: Bestand zum Ende des Quartals</w:t>
      </w:r>
      <w:r w:rsidR="00C22A1C">
        <w:rPr>
          <w:rFonts w:ascii="Arial" w:hAnsi="Arial" w:cs="Arial"/>
        </w:rPr>
        <w:t>.</w:t>
      </w:r>
    </w:p>
    <w:p w14:paraId="71989BB0" w14:textId="7252FE3F" w:rsidR="00265A17" w:rsidRPr="00265A17" w:rsidRDefault="00265A17" w:rsidP="00265A17">
      <w:pPr>
        <w:numPr>
          <w:ilvl w:val="0"/>
          <w:numId w:val="3"/>
        </w:numPr>
        <w:spacing w:line="240" w:lineRule="atLeast"/>
        <w:ind w:left="1428"/>
        <w:contextualSpacing/>
        <w:jc w:val="both"/>
        <w:rPr>
          <w:rFonts w:ascii="Arial" w:hAnsi="Arial" w:cs="Arial"/>
        </w:rPr>
      </w:pPr>
      <w:r w:rsidRPr="00265A17">
        <w:rPr>
          <w:rFonts w:ascii="Arial" w:hAnsi="Arial" w:cs="Arial"/>
        </w:rPr>
        <w:t>T820: Bestand zum Ende des Vorquartals</w:t>
      </w:r>
      <w:r w:rsidR="00C22A1C">
        <w:rPr>
          <w:rFonts w:ascii="Arial" w:hAnsi="Arial" w:cs="Arial"/>
        </w:rPr>
        <w:t>.</w:t>
      </w:r>
    </w:p>
    <w:p w14:paraId="0699AA6C" w14:textId="77777777" w:rsidR="00265A17" w:rsidRPr="00265A17" w:rsidRDefault="00265A17" w:rsidP="00265A17">
      <w:pPr>
        <w:spacing w:line="240" w:lineRule="atLeast"/>
        <w:ind w:left="1428"/>
        <w:contextualSpacing/>
        <w:jc w:val="both"/>
        <w:rPr>
          <w:rFonts w:ascii="Arial" w:hAnsi="Arial" w:cs="Arial"/>
        </w:rPr>
      </w:pPr>
    </w:p>
    <w:p w14:paraId="502BB1E6" w14:textId="77777777" w:rsidR="00265A17" w:rsidRPr="00265A17" w:rsidRDefault="00265A17" w:rsidP="00265A17">
      <w:pPr>
        <w:spacing w:line="240" w:lineRule="atLeast"/>
        <w:ind w:left="708" w:firstLine="360"/>
        <w:jc w:val="both"/>
        <w:rPr>
          <w:rFonts w:ascii="Arial" w:hAnsi="Arial" w:cs="Arial"/>
          <w:b/>
          <w:i/>
        </w:rPr>
      </w:pPr>
      <w:r w:rsidRPr="00265A17">
        <w:rPr>
          <w:rFonts w:ascii="Arial" w:hAnsi="Arial" w:cs="Arial"/>
          <w:b/>
          <w:i/>
        </w:rPr>
        <w:t>Zu melden sind hier insbesondere:</w:t>
      </w:r>
    </w:p>
    <w:p w14:paraId="37549507" w14:textId="6C8B36C7" w:rsidR="00265A17" w:rsidRPr="00265A17" w:rsidRDefault="00265A17" w:rsidP="00265A17">
      <w:pPr>
        <w:numPr>
          <w:ilvl w:val="0"/>
          <w:numId w:val="13"/>
        </w:numPr>
        <w:spacing w:line="240" w:lineRule="atLeast"/>
        <w:ind w:left="1428"/>
        <w:contextualSpacing/>
        <w:rPr>
          <w:rFonts w:ascii="Arial" w:hAnsi="Arial" w:cs="Arial"/>
        </w:rPr>
      </w:pPr>
      <w:r w:rsidRPr="00265A17">
        <w:rPr>
          <w:rFonts w:ascii="Arial" w:hAnsi="Arial" w:cs="Arial"/>
        </w:rPr>
        <w:t>Sogenannte Verwahrungen, die (noch) nicht zugeordnet werden können</w:t>
      </w:r>
      <w:r w:rsidR="00C22A1C">
        <w:rPr>
          <w:rFonts w:ascii="Arial" w:hAnsi="Arial" w:cs="Arial"/>
        </w:rPr>
        <w:t>.</w:t>
      </w:r>
    </w:p>
    <w:p w14:paraId="42E60A87" w14:textId="74AC8DB9" w:rsidR="00265A17" w:rsidRPr="00265A17" w:rsidRDefault="00265A17" w:rsidP="00265A17">
      <w:pPr>
        <w:numPr>
          <w:ilvl w:val="0"/>
          <w:numId w:val="13"/>
        </w:numPr>
        <w:spacing w:line="240" w:lineRule="atLeast"/>
        <w:ind w:left="1428"/>
        <w:contextualSpacing/>
        <w:rPr>
          <w:rFonts w:ascii="Arial" w:hAnsi="Arial" w:cs="Arial"/>
        </w:rPr>
      </w:pPr>
      <w:r w:rsidRPr="00265A17">
        <w:rPr>
          <w:rFonts w:ascii="Arial" w:hAnsi="Arial" w:cs="Arial"/>
        </w:rPr>
        <w:t>Sogenannte Schwebeposten</w:t>
      </w:r>
      <w:r w:rsidR="00C22A1C">
        <w:rPr>
          <w:rFonts w:ascii="Arial" w:hAnsi="Arial" w:cs="Arial"/>
        </w:rPr>
        <w:t>.</w:t>
      </w:r>
    </w:p>
    <w:p w14:paraId="0E2EC6D8" w14:textId="77777777" w:rsidR="00265A17" w:rsidRPr="00265A17" w:rsidRDefault="00265A17" w:rsidP="00265A17">
      <w:pPr>
        <w:spacing w:line="240" w:lineRule="atLeast"/>
        <w:ind w:left="708"/>
        <w:rPr>
          <w:rFonts w:ascii="Arial" w:hAnsi="Arial" w:cs="Arial"/>
        </w:rPr>
      </w:pPr>
    </w:p>
    <w:p w14:paraId="338F123A" w14:textId="77777777" w:rsidR="00265A17" w:rsidRPr="00265A17" w:rsidRDefault="00265A17" w:rsidP="00265A17">
      <w:pPr>
        <w:spacing w:line="240" w:lineRule="atLeast"/>
        <w:ind w:left="708" w:firstLine="360"/>
        <w:rPr>
          <w:rFonts w:ascii="Arial" w:hAnsi="Arial" w:cs="Arial"/>
          <w:b/>
          <w:i/>
        </w:rPr>
      </w:pPr>
      <w:r w:rsidRPr="00265A17">
        <w:rPr>
          <w:rFonts w:ascii="Arial" w:hAnsi="Arial" w:cs="Arial"/>
          <w:b/>
          <w:i/>
        </w:rPr>
        <w:t>Nicht zu melden sind:</w:t>
      </w:r>
    </w:p>
    <w:p w14:paraId="12BB1909" w14:textId="77777777" w:rsidR="00265A17" w:rsidRPr="00265A17" w:rsidRDefault="00265A17" w:rsidP="00265A17">
      <w:pPr>
        <w:numPr>
          <w:ilvl w:val="1"/>
          <w:numId w:val="21"/>
        </w:numPr>
        <w:ind w:left="1418"/>
        <w:contextualSpacing/>
        <w:rPr>
          <w:rFonts w:ascii="Arial" w:hAnsi="Arial" w:cs="Arial"/>
        </w:rPr>
      </w:pPr>
      <w:r w:rsidRPr="00265A17">
        <w:rPr>
          <w:rFonts w:ascii="Arial" w:hAnsi="Arial" w:cs="Arial"/>
        </w:rPr>
        <w:t>Verbindlichkeiten gegenüber der eigenen Ebene: Gemeinden/ Landkreise/ LWV/ Extrahaushalte (=Ausgliederungen, die nach VGR dem Sektor Staat angehören.</w:t>
      </w:r>
    </w:p>
    <w:p w14:paraId="2EBC1934" w14:textId="77777777" w:rsidR="00265A17" w:rsidRPr="00265A17" w:rsidRDefault="00265A17" w:rsidP="00265A17">
      <w:pPr>
        <w:rPr>
          <w:rFonts w:ascii="Arial" w:hAnsi="Arial" w:cs="Arial"/>
          <w:b/>
          <w:szCs w:val="24"/>
        </w:rPr>
      </w:pPr>
    </w:p>
    <w:p w14:paraId="011FBCCE" w14:textId="77777777" w:rsidR="00265A17" w:rsidRPr="00265A17" w:rsidRDefault="00265A17" w:rsidP="00265A17">
      <w:pPr>
        <w:autoSpaceDE w:val="0"/>
        <w:autoSpaceDN w:val="0"/>
        <w:adjustRightInd w:val="0"/>
        <w:spacing w:line="240" w:lineRule="atLeast"/>
        <w:jc w:val="center"/>
        <w:rPr>
          <w:rFonts w:ascii="Segoe UI Symbol" w:hAnsi="Segoe UI Symbol" w:cs="Segoe UI Symbol"/>
          <w:b/>
          <w:color w:val="FF0000"/>
        </w:rPr>
      </w:pPr>
      <w:r w:rsidRPr="00265A17">
        <w:rPr>
          <w:rFonts w:ascii="Segoe UI Symbol" w:hAnsi="Segoe UI Symbol" w:cs="Segoe UI Symbol"/>
          <w:b/>
          <w:color w:val="FF0000"/>
        </w:rPr>
        <w:t xml:space="preserve">❕ </w:t>
      </w:r>
      <w:r w:rsidRPr="00265A17">
        <w:rPr>
          <w:rFonts w:ascii="Arial" w:hAnsi="Arial" w:cs="Arial"/>
          <w:b/>
          <w:color w:val="FF0000"/>
        </w:rPr>
        <w:t xml:space="preserve">Bitte beachten Sie nachfolgenden Hinweis </w:t>
      </w:r>
      <w:r w:rsidRPr="00265A17">
        <w:rPr>
          <w:rFonts w:ascii="Segoe UI Symbol" w:hAnsi="Segoe UI Symbol" w:cs="Segoe UI Symbol"/>
          <w:b/>
          <w:color w:val="FF0000"/>
        </w:rPr>
        <w:t>❕</w:t>
      </w:r>
    </w:p>
    <w:p w14:paraId="399AE74E" w14:textId="77777777" w:rsidR="00265A17" w:rsidRPr="00265A17" w:rsidRDefault="00265A17" w:rsidP="00265A17">
      <w:pPr>
        <w:autoSpaceDE w:val="0"/>
        <w:autoSpaceDN w:val="0"/>
        <w:adjustRightInd w:val="0"/>
        <w:spacing w:line="240" w:lineRule="atLeast"/>
        <w:rPr>
          <w:rFonts w:ascii="Arial" w:hAnsi="Arial" w:cs="Arial"/>
          <w:b/>
        </w:rPr>
      </w:pPr>
    </w:p>
    <w:p w14:paraId="21EFE8F6" w14:textId="06A86538" w:rsidR="00FD390B" w:rsidRPr="00612BEE" w:rsidRDefault="00265A17" w:rsidP="00265A17">
      <w:pPr>
        <w:pStyle w:val="Listenabsatz"/>
        <w:numPr>
          <w:ilvl w:val="1"/>
          <w:numId w:val="13"/>
        </w:numPr>
        <w:rPr>
          <w:rFonts w:ascii="Arial" w:hAnsi="Arial" w:cs="Arial"/>
        </w:rPr>
      </w:pPr>
      <w:r w:rsidRPr="00265A17">
        <w:rPr>
          <w:rFonts w:ascii="Arial" w:hAnsi="Arial" w:cs="Arial"/>
          <w:szCs w:val="24"/>
        </w:rPr>
        <w:t>Berichtseinheiten, die immer zum Zeitpunkt der tatsächlichen Einzahlung bzw. Auszahlung eine haushälterisch kassenwirksame Buchung vornehmen, haben im Rahmen der Vierteljährlichen Kassenstatistik (GFK) keine „Weiteren Forderungen“ bzw. „Weitere Verbindlichkeiten“ zu melden.</w:t>
      </w:r>
    </w:p>
    <w:p w14:paraId="1B85DBC4" w14:textId="77777777" w:rsidR="00404ECC" w:rsidRDefault="00404ECC" w:rsidP="00404ECC">
      <w:pPr>
        <w:rPr>
          <w:rFonts w:ascii="Arial" w:hAnsi="Arial" w:cs="Arial"/>
          <w:b/>
          <w:szCs w:val="24"/>
        </w:rPr>
      </w:pPr>
    </w:p>
    <w:p w14:paraId="0BC8F339" w14:textId="77777777" w:rsidR="00FD390B" w:rsidRDefault="00FD390B" w:rsidP="00FD390B">
      <w:pPr>
        <w:spacing w:after="160" w:line="259" w:lineRule="auto"/>
        <w:rPr>
          <w:rFonts w:ascii="Arial" w:hAnsi="Arial" w:cs="Arial"/>
        </w:rPr>
      </w:pPr>
      <w:r>
        <w:rPr>
          <w:rFonts w:ascii="Arial" w:hAnsi="Arial" w:cs="Arial"/>
        </w:rPr>
        <w:br w:type="page"/>
      </w:r>
    </w:p>
    <w:p w14:paraId="182AC336" w14:textId="0E968BE7" w:rsidR="00FD390B" w:rsidRDefault="00FD390B" w:rsidP="00FD390B">
      <w:pPr>
        <w:pStyle w:val="berschrift1"/>
        <w:spacing w:before="0" w:line="240" w:lineRule="atLeast"/>
        <w:jc w:val="center"/>
        <w:rPr>
          <w:rFonts w:ascii="Arial" w:hAnsi="Arial" w:cs="Arial"/>
          <w:b/>
          <w:color w:val="0A3776"/>
          <w:szCs w:val="26"/>
        </w:rPr>
      </w:pPr>
      <w:bookmarkStart w:id="48" w:name="_Toc163114801"/>
      <w:r>
        <w:rPr>
          <w:rFonts w:ascii="Arial" w:hAnsi="Arial" w:cs="Arial"/>
          <w:b/>
          <w:color w:val="0A3776"/>
          <w:szCs w:val="26"/>
        </w:rPr>
        <w:lastRenderedPageBreak/>
        <w:t>7 Gesetzliche Grundlagen</w:t>
      </w:r>
      <w:bookmarkEnd w:id="48"/>
    </w:p>
    <w:p w14:paraId="0E42B33B" w14:textId="77777777" w:rsidR="00FD390B" w:rsidRPr="00D2702B" w:rsidRDefault="00FD390B" w:rsidP="00FD390B">
      <w:pPr>
        <w:spacing w:line="240" w:lineRule="atLeast"/>
        <w:jc w:val="both"/>
        <w:rPr>
          <w:rFonts w:ascii="Arial" w:hAnsi="Arial" w:cs="Arial"/>
        </w:rPr>
      </w:pPr>
    </w:p>
    <w:p w14:paraId="2FE2A3E5" w14:textId="77777777" w:rsidR="00FD390B" w:rsidRPr="00265A17" w:rsidRDefault="00FD390B" w:rsidP="00FD390B">
      <w:pPr>
        <w:spacing w:line="240" w:lineRule="atLeast"/>
        <w:rPr>
          <w:rFonts w:ascii="Arial" w:hAnsi="Arial" w:cs="Arial"/>
          <w:b/>
        </w:rPr>
      </w:pPr>
      <w:r w:rsidRPr="00265A17">
        <w:rPr>
          <w:rFonts w:ascii="Arial" w:hAnsi="Arial" w:cs="Arial"/>
          <w:b/>
        </w:rPr>
        <w:t xml:space="preserve">Rechtsgrundlage: </w:t>
      </w:r>
    </w:p>
    <w:p w14:paraId="24B64A48" w14:textId="77777777" w:rsidR="00FD390B" w:rsidRPr="00265A17" w:rsidRDefault="00FD390B" w:rsidP="00FD390B">
      <w:pPr>
        <w:spacing w:line="240" w:lineRule="atLeast"/>
        <w:rPr>
          <w:rFonts w:ascii="Arial" w:hAnsi="Arial" w:cs="Arial"/>
        </w:rPr>
      </w:pPr>
      <w:r w:rsidRPr="00265A17">
        <w:rPr>
          <w:rFonts w:ascii="Arial" w:hAnsi="Arial" w:cs="Arial"/>
        </w:rPr>
        <w:t>Rechtsgrundlage der Vierteljährlichen Kassenergebnisse ist das Finanz- und Personalstatistikgesetz (FPStatG) vom 21. Dezember 1992, in der Fassung der Bekanntmachung vom 22. Februar 2006 (BGBl. I S. 438), zuletzt geändert durch Artikel 1 des Gesetzes vom 3. Juni 2021 (BGBI. I S. 1401), in Verbindung mit dem Bundesstatistikgesetz (BStatG) vom 22. Januar 1987 (BGBI. I.S. 462, 565), in der Fassung der Bekanntmachung vom 20. Oktober 2016 (BGBl. I S. 2394), zuletzt geändert durch Artikel 5 des Gesetzes vom 20. Dezember 2022 (BGBl. I S. 2727).</w:t>
      </w:r>
    </w:p>
    <w:p w14:paraId="004C6794" w14:textId="77777777" w:rsidR="00FD390B" w:rsidRPr="00265A17" w:rsidRDefault="00FD390B" w:rsidP="00FD390B">
      <w:pPr>
        <w:spacing w:line="240" w:lineRule="atLeast"/>
        <w:rPr>
          <w:rFonts w:ascii="Arial" w:hAnsi="Arial" w:cs="Arial"/>
          <w:b/>
        </w:rPr>
      </w:pPr>
    </w:p>
    <w:p w14:paraId="0E2E4DD1" w14:textId="77777777" w:rsidR="00FD390B" w:rsidRPr="00265A17" w:rsidRDefault="00FD390B" w:rsidP="00FD390B">
      <w:pPr>
        <w:spacing w:line="240" w:lineRule="atLeast"/>
        <w:rPr>
          <w:rFonts w:ascii="Arial" w:hAnsi="Arial" w:cs="Arial"/>
          <w:b/>
        </w:rPr>
      </w:pPr>
      <w:r w:rsidRPr="00265A17">
        <w:rPr>
          <w:rFonts w:ascii="Arial" w:hAnsi="Arial" w:cs="Arial"/>
          <w:b/>
        </w:rPr>
        <w:t xml:space="preserve">Zweck der Erhebung: </w:t>
      </w:r>
    </w:p>
    <w:p w14:paraId="216C157C" w14:textId="77777777" w:rsidR="00FD390B" w:rsidRPr="00265A17" w:rsidRDefault="00FD390B" w:rsidP="00FD390B">
      <w:pPr>
        <w:spacing w:line="240" w:lineRule="atLeast"/>
        <w:rPr>
          <w:rFonts w:ascii="Arial" w:hAnsi="Arial" w:cs="Arial"/>
        </w:rPr>
      </w:pPr>
      <w:r w:rsidRPr="00265A17">
        <w:rPr>
          <w:rFonts w:ascii="Arial" w:hAnsi="Arial" w:cs="Arial"/>
        </w:rPr>
        <w:t xml:space="preserve">Die Statistik der Vierteljährlichen Kassenergebnisse dient der finanz-, konjunktur- und wirtschaftspolitischen Beurteilung der gemeindlichen Finanzwirtschaft und liefert die Basisdaten für die Berichterstattung zur stabilitätsorientierten Finanzpolitik der EU-Mitgliedsstaaten (Stabilitätspakt) durch die Volkswirtschaftlichen Gesamtrechnungen und durch die Deutsche Bundesbank. Zu den Hauptnutzern der Statistik zählen Bundes- und Länderministerien (vor allem Finanz-, Innen- und Wirtschaftsministerien) und das Bundesministerium für Bildung und Forschung, die Deutsche Bundesbank, Universitäten und Wirtschaftsforschungsinstitute, Rechnungshöfe und kommunale Spitzenverbände, Eurostat und der Internationale Währungsfonds (IWF). </w:t>
      </w:r>
    </w:p>
    <w:p w14:paraId="4A80EDA0" w14:textId="77777777" w:rsidR="00FD390B" w:rsidRPr="00265A17" w:rsidRDefault="00FD390B" w:rsidP="00FD390B">
      <w:pPr>
        <w:spacing w:line="240" w:lineRule="atLeast"/>
        <w:rPr>
          <w:rFonts w:ascii="Arial" w:hAnsi="Arial" w:cs="Arial"/>
        </w:rPr>
      </w:pPr>
    </w:p>
    <w:p w14:paraId="4F28EC4A" w14:textId="77777777" w:rsidR="00FD390B" w:rsidRPr="00265A17" w:rsidRDefault="00FD390B" w:rsidP="00FD390B">
      <w:pPr>
        <w:spacing w:line="240" w:lineRule="atLeast"/>
        <w:rPr>
          <w:rFonts w:ascii="Arial" w:hAnsi="Arial" w:cs="Arial"/>
        </w:rPr>
      </w:pPr>
      <w:r w:rsidRPr="00265A17">
        <w:rPr>
          <w:rFonts w:ascii="Arial" w:hAnsi="Arial" w:cs="Arial"/>
        </w:rPr>
        <w:t xml:space="preserve">Die Angaben zu den vierteljährlichen Schulden erfüllen den Datenbedarf wirtschaftlicher und politischer Entscheidungsträger im nationalen Rahmen und auch auf Ebene der Europäischen Union nach der Verordnung (EG) Nr. 479/2009 des Rates vom 25. Mai 2009 über die Anwendung des dem Vertrag zur Gründung der Europäischen Gemeinschaft beigefügten Protokolls über das Verfahren bei einem übermäßigen Defizit (ABl. L145 vom 10.6.2009, S. 1), die zuletzt durch die Verordnung (EU) Nr. 220/2014 des Rates vom 7. März 2014 (ABl. L 69 vom 8.3.2014, S. 101) geändert worden ist. </w:t>
      </w:r>
    </w:p>
    <w:p w14:paraId="6FFDB290" w14:textId="77777777" w:rsidR="00FD390B" w:rsidRPr="00265A17" w:rsidRDefault="00FD390B" w:rsidP="00FD390B">
      <w:pPr>
        <w:spacing w:line="240" w:lineRule="atLeast"/>
        <w:rPr>
          <w:rFonts w:ascii="Arial" w:hAnsi="Arial" w:cs="Arial"/>
          <w:b/>
        </w:rPr>
      </w:pPr>
    </w:p>
    <w:p w14:paraId="72B83CCA" w14:textId="77777777" w:rsidR="00FD390B" w:rsidRPr="00265A17" w:rsidRDefault="00FD390B" w:rsidP="00FD390B">
      <w:pPr>
        <w:spacing w:line="240" w:lineRule="atLeast"/>
        <w:rPr>
          <w:rFonts w:ascii="Arial" w:hAnsi="Arial" w:cs="Arial"/>
          <w:b/>
        </w:rPr>
      </w:pPr>
      <w:r w:rsidRPr="00265A17">
        <w:rPr>
          <w:rFonts w:ascii="Arial" w:hAnsi="Arial" w:cs="Arial"/>
          <w:b/>
        </w:rPr>
        <w:t xml:space="preserve">Art und Umfang der Erhebung: </w:t>
      </w:r>
    </w:p>
    <w:p w14:paraId="2101029A" w14:textId="7FA6371F" w:rsidR="00FD390B" w:rsidRPr="00265A17" w:rsidRDefault="00FD390B" w:rsidP="00FD390B">
      <w:pPr>
        <w:spacing w:line="240" w:lineRule="atLeast"/>
        <w:rPr>
          <w:rFonts w:ascii="Arial" w:hAnsi="Arial" w:cs="Arial"/>
        </w:rPr>
      </w:pPr>
      <w:r w:rsidRPr="00265A17">
        <w:rPr>
          <w:rFonts w:ascii="Arial" w:hAnsi="Arial" w:cs="Arial"/>
        </w:rPr>
        <w:t>Vierteljährlich werden bei allen Gemeinden und Gemeindeverbänden (Totalerhebung) die Ein- und Auszahlungen jeweils nach Arten sowie die Auszahlungen für soziale Sicherung und für Baumaßnahmen nach Produktgruppen entsprechend der für die Finanzstatistik maßgeblichen Systematik, der Stand der Verbindlichke</w:t>
      </w:r>
      <w:r w:rsidR="00C22A1C">
        <w:rPr>
          <w:rFonts w:ascii="Arial" w:hAnsi="Arial" w:cs="Arial"/>
        </w:rPr>
        <w:t>iten am Ende des Quartals, die F</w:t>
      </w:r>
      <w:r w:rsidRPr="00265A17">
        <w:rPr>
          <w:rFonts w:ascii="Arial" w:hAnsi="Arial" w:cs="Arial"/>
        </w:rPr>
        <w:t xml:space="preserve">inanziellen Transaktionen sowie die Hebesätze der Realsteuern, die Hundesteuersätze und Umlagesätze erhoben. </w:t>
      </w:r>
    </w:p>
    <w:p w14:paraId="3ECD931B" w14:textId="77777777" w:rsidR="00FD390B" w:rsidRPr="00265A17" w:rsidRDefault="00FD390B" w:rsidP="00FD390B">
      <w:pPr>
        <w:spacing w:line="240" w:lineRule="atLeast"/>
        <w:rPr>
          <w:rFonts w:ascii="Arial" w:hAnsi="Arial" w:cs="Arial"/>
          <w:b/>
        </w:rPr>
      </w:pPr>
    </w:p>
    <w:p w14:paraId="6F913F62" w14:textId="77777777" w:rsidR="00FD390B" w:rsidRPr="00265A17" w:rsidRDefault="00FD390B" w:rsidP="00FD390B">
      <w:pPr>
        <w:spacing w:line="240" w:lineRule="atLeast"/>
        <w:rPr>
          <w:rFonts w:ascii="Arial" w:hAnsi="Arial" w:cs="Arial"/>
          <w:b/>
        </w:rPr>
      </w:pPr>
      <w:r w:rsidRPr="00265A17">
        <w:rPr>
          <w:rFonts w:ascii="Arial" w:hAnsi="Arial" w:cs="Arial"/>
          <w:b/>
        </w:rPr>
        <w:t xml:space="preserve">Auskunftspflicht: </w:t>
      </w:r>
    </w:p>
    <w:p w14:paraId="323984DE" w14:textId="77777777" w:rsidR="00FD390B" w:rsidRPr="00265A17" w:rsidRDefault="00FD390B" w:rsidP="00FD390B">
      <w:pPr>
        <w:spacing w:line="240" w:lineRule="atLeast"/>
        <w:rPr>
          <w:rFonts w:ascii="Arial" w:hAnsi="Arial" w:cs="Arial"/>
        </w:rPr>
      </w:pPr>
      <w:r w:rsidRPr="00265A17">
        <w:rPr>
          <w:rFonts w:ascii="Arial" w:hAnsi="Arial" w:cs="Arial"/>
        </w:rPr>
        <w:t xml:space="preserve">Es besteht eine gesetzliche Auskunftspflicht. Gemäß § 11 Abs. 1 und 2 Nr. 1 b FPStatG in Verbindung mit § 15 BStatG sind die Leiter der Einrichtung oder der für das Haushalts-, Kassen- und Rechnungswesen zuständigen Stelle verantwortlich. </w:t>
      </w:r>
    </w:p>
    <w:p w14:paraId="63AB12A3" w14:textId="77777777" w:rsidR="00FD390B" w:rsidRPr="00265A17" w:rsidRDefault="00FD390B" w:rsidP="00FD390B">
      <w:pPr>
        <w:spacing w:line="240" w:lineRule="atLeast"/>
        <w:rPr>
          <w:rFonts w:ascii="Arial" w:hAnsi="Arial" w:cs="Arial"/>
          <w:b/>
        </w:rPr>
      </w:pPr>
    </w:p>
    <w:p w14:paraId="34F6D6D3" w14:textId="77777777" w:rsidR="00FD390B" w:rsidRPr="00265A17" w:rsidRDefault="00FD390B" w:rsidP="00FD390B">
      <w:pPr>
        <w:spacing w:line="240" w:lineRule="atLeast"/>
        <w:rPr>
          <w:rFonts w:ascii="Arial" w:hAnsi="Arial" w:cs="Arial"/>
          <w:b/>
        </w:rPr>
      </w:pPr>
      <w:r w:rsidRPr="00265A17">
        <w:rPr>
          <w:rFonts w:ascii="Arial" w:hAnsi="Arial" w:cs="Arial"/>
          <w:b/>
        </w:rPr>
        <w:t xml:space="preserve">Geheimhaltung und Datenschutz: </w:t>
      </w:r>
    </w:p>
    <w:p w14:paraId="7C9C2DCC" w14:textId="77777777" w:rsidR="00FD390B" w:rsidRPr="00265A17" w:rsidRDefault="00FD390B" w:rsidP="003643D5">
      <w:pPr>
        <w:spacing w:line="240" w:lineRule="atLeast"/>
        <w:rPr>
          <w:rFonts w:ascii="Arial" w:hAnsi="Arial" w:cs="Arial"/>
        </w:rPr>
      </w:pPr>
      <w:r w:rsidRPr="00265A17">
        <w:rPr>
          <w:rFonts w:ascii="Arial" w:hAnsi="Arial" w:cs="Arial"/>
        </w:rPr>
        <w:t>Die Vierteljährlichen Kassenergebnisse der Kernhaushalte sind allgemein zugänglich. Sie unterliegen keiner Geheimhaltung. § 15 FPStatG lässt die Veröffentlichung von Ergebnissen auf der Ebene der Erhebungseinheit zu.</w:t>
      </w:r>
    </w:p>
    <w:p w14:paraId="14B3CEA0" w14:textId="285893F9" w:rsidR="00FD390B" w:rsidRPr="002312B3" w:rsidRDefault="00FD390B" w:rsidP="00FD390B">
      <w:pPr>
        <w:rPr>
          <w:sz w:val="24"/>
        </w:rPr>
      </w:pPr>
    </w:p>
    <w:sectPr w:rsidR="00FD390B" w:rsidRPr="002312B3" w:rsidSect="00310600">
      <w:headerReference w:type="default" r:id="rId18"/>
      <w:footerReference w:type="default" r:id="rId19"/>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7219" w14:textId="77777777" w:rsidR="00F16479" w:rsidRDefault="00F16479" w:rsidP="00507368">
      <w:pPr>
        <w:spacing w:line="240" w:lineRule="auto"/>
      </w:pPr>
      <w:r>
        <w:separator/>
      </w:r>
    </w:p>
  </w:endnote>
  <w:endnote w:type="continuationSeparator" w:id="0">
    <w:p w14:paraId="37E012DB" w14:textId="77777777" w:rsidR="00F16479" w:rsidRDefault="00F16479" w:rsidP="005073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467936"/>
      <w:docPartObj>
        <w:docPartGallery w:val="Page Numbers (Bottom of Page)"/>
        <w:docPartUnique/>
      </w:docPartObj>
    </w:sdtPr>
    <w:sdtEndPr/>
    <w:sdtContent>
      <w:p w14:paraId="0404E132" w14:textId="5D8DF681" w:rsidR="00F16479" w:rsidRDefault="00F16479">
        <w:pPr>
          <w:pStyle w:val="Fuzeile"/>
          <w:jc w:val="right"/>
        </w:pPr>
        <w:r>
          <w:fldChar w:fldCharType="begin"/>
        </w:r>
        <w:r>
          <w:instrText>PAGE   \* MERGEFORMAT</w:instrText>
        </w:r>
        <w:r>
          <w:fldChar w:fldCharType="separate"/>
        </w:r>
        <w:r w:rsidR="00783722">
          <w:rPr>
            <w:noProof/>
          </w:rPr>
          <w:t>2</w:t>
        </w:r>
        <w:r>
          <w:fldChar w:fldCharType="end"/>
        </w:r>
      </w:p>
    </w:sdtContent>
  </w:sdt>
  <w:p w14:paraId="4A3FF3CF" w14:textId="77777777" w:rsidR="00F16479" w:rsidRDefault="00F164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F33F7" w14:textId="77777777" w:rsidR="00F16479" w:rsidRDefault="00F16479" w:rsidP="00507368">
      <w:pPr>
        <w:spacing w:line="240" w:lineRule="auto"/>
      </w:pPr>
      <w:r>
        <w:separator/>
      </w:r>
    </w:p>
  </w:footnote>
  <w:footnote w:type="continuationSeparator" w:id="0">
    <w:p w14:paraId="26F0DA4D" w14:textId="77777777" w:rsidR="00F16479" w:rsidRDefault="00F16479" w:rsidP="005073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4021" w14:textId="77777777" w:rsidR="00F16479" w:rsidRDefault="00F16479" w:rsidP="00583745">
    <w:pPr>
      <w:pStyle w:val="Kopfzeile"/>
      <w:jc w:val="center"/>
      <w:rPr>
        <w:rFonts w:ascii="Arial" w:hAnsi="Arial" w:cs="Arial"/>
      </w:rPr>
    </w:pPr>
    <w:r w:rsidRPr="00583745">
      <w:rPr>
        <w:rFonts w:ascii="Arial" w:hAnsi="Arial" w:cs="Arial"/>
      </w:rPr>
      <w:t xml:space="preserve">Hessisches Statistisches Landesamt </w:t>
    </w:r>
  </w:p>
  <w:p w14:paraId="41E57002" w14:textId="18D2D4E6" w:rsidR="00F16479" w:rsidRPr="00583745" w:rsidRDefault="00F16479" w:rsidP="00583745">
    <w:pPr>
      <w:pStyle w:val="Kopfzeile"/>
      <w:jc w:val="center"/>
      <w:rPr>
        <w:rFonts w:ascii="Arial" w:hAnsi="Arial" w:cs="Arial"/>
      </w:rPr>
    </w:pPr>
    <w:r w:rsidRPr="00583745">
      <w:rPr>
        <w:rFonts w:ascii="Arial" w:hAnsi="Arial" w:cs="Arial"/>
      </w:rPr>
      <w:t>Vierteljährliche Kassenstatistik 202</w:t>
    </w:r>
    <w:r>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5E7"/>
    <w:multiLevelType w:val="hybridMultilevel"/>
    <w:tmpl w:val="55040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E36A42"/>
    <w:multiLevelType w:val="hybridMultilevel"/>
    <w:tmpl w:val="2FB6B3E0"/>
    <w:lvl w:ilvl="0" w:tplc="04070001">
      <w:start w:val="1"/>
      <w:numFmt w:val="bullet"/>
      <w:lvlText w:val=""/>
      <w:lvlJc w:val="left"/>
      <w:pPr>
        <w:ind w:left="3072" w:hanging="360"/>
      </w:pPr>
      <w:rPr>
        <w:rFonts w:ascii="Symbol" w:hAnsi="Symbol" w:hint="default"/>
      </w:rPr>
    </w:lvl>
    <w:lvl w:ilvl="1" w:tplc="04070003" w:tentative="1">
      <w:start w:val="1"/>
      <w:numFmt w:val="bullet"/>
      <w:lvlText w:val="o"/>
      <w:lvlJc w:val="left"/>
      <w:pPr>
        <w:ind w:left="3792" w:hanging="360"/>
      </w:pPr>
      <w:rPr>
        <w:rFonts w:ascii="Courier New" w:hAnsi="Courier New" w:cs="Courier New" w:hint="default"/>
      </w:rPr>
    </w:lvl>
    <w:lvl w:ilvl="2" w:tplc="04070005" w:tentative="1">
      <w:start w:val="1"/>
      <w:numFmt w:val="bullet"/>
      <w:lvlText w:val=""/>
      <w:lvlJc w:val="left"/>
      <w:pPr>
        <w:ind w:left="4512" w:hanging="360"/>
      </w:pPr>
      <w:rPr>
        <w:rFonts w:ascii="Wingdings" w:hAnsi="Wingdings" w:hint="default"/>
      </w:rPr>
    </w:lvl>
    <w:lvl w:ilvl="3" w:tplc="04070001" w:tentative="1">
      <w:start w:val="1"/>
      <w:numFmt w:val="bullet"/>
      <w:lvlText w:val=""/>
      <w:lvlJc w:val="left"/>
      <w:pPr>
        <w:ind w:left="5232" w:hanging="360"/>
      </w:pPr>
      <w:rPr>
        <w:rFonts w:ascii="Symbol" w:hAnsi="Symbol" w:hint="default"/>
      </w:rPr>
    </w:lvl>
    <w:lvl w:ilvl="4" w:tplc="04070003" w:tentative="1">
      <w:start w:val="1"/>
      <w:numFmt w:val="bullet"/>
      <w:lvlText w:val="o"/>
      <w:lvlJc w:val="left"/>
      <w:pPr>
        <w:ind w:left="5952" w:hanging="360"/>
      </w:pPr>
      <w:rPr>
        <w:rFonts w:ascii="Courier New" w:hAnsi="Courier New" w:cs="Courier New" w:hint="default"/>
      </w:rPr>
    </w:lvl>
    <w:lvl w:ilvl="5" w:tplc="04070005" w:tentative="1">
      <w:start w:val="1"/>
      <w:numFmt w:val="bullet"/>
      <w:lvlText w:val=""/>
      <w:lvlJc w:val="left"/>
      <w:pPr>
        <w:ind w:left="6672" w:hanging="360"/>
      </w:pPr>
      <w:rPr>
        <w:rFonts w:ascii="Wingdings" w:hAnsi="Wingdings" w:hint="default"/>
      </w:rPr>
    </w:lvl>
    <w:lvl w:ilvl="6" w:tplc="04070001" w:tentative="1">
      <w:start w:val="1"/>
      <w:numFmt w:val="bullet"/>
      <w:lvlText w:val=""/>
      <w:lvlJc w:val="left"/>
      <w:pPr>
        <w:ind w:left="7392" w:hanging="360"/>
      </w:pPr>
      <w:rPr>
        <w:rFonts w:ascii="Symbol" w:hAnsi="Symbol" w:hint="default"/>
      </w:rPr>
    </w:lvl>
    <w:lvl w:ilvl="7" w:tplc="04070003" w:tentative="1">
      <w:start w:val="1"/>
      <w:numFmt w:val="bullet"/>
      <w:lvlText w:val="o"/>
      <w:lvlJc w:val="left"/>
      <w:pPr>
        <w:ind w:left="8112" w:hanging="360"/>
      </w:pPr>
      <w:rPr>
        <w:rFonts w:ascii="Courier New" w:hAnsi="Courier New" w:cs="Courier New" w:hint="default"/>
      </w:rPr>
    </w:lvl>
    <w:lvl w:ilvl="8" w:tplc="04070005" w:tentative="1">
      <w:start w:val="1"/>
      <w:numFmt w:val="bullet"/>
      <w:lvlText w:val=""/>
      <w:lvlJc w:val="left"/>
      <w:pPr>
        <w:ind w:left="8832" w:hanging="360"/>
      </w:pPr>
      <w:rPr>
        <w:rFonts w:ascii="Wingdings" w:hAnsi="Wingdings" w:hint="default"/>
      </w:rPr>
    </w:lvl>
  </w:abstractNum>
  <w:abstractNum w:abstractNumId="2" w15:restartNumberingAfterBreak="0">
    <w:nsid w:val="0E27180C"/>
    <w:multiLevelType w:val="hybridMultilevel"/>
    <w:tmpl w:val="4E5A2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8154FA"/>
    <w:multiLevelType w:val="hybridMultilevel"/>
    <w:tmpl w:val="735CF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DEF0159"/>
    <w:multiLevelType w:val="hybridMultilevel"/>
    <w:tmpl w:val="AE104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7A6843"/>
    <w:multiLevelType w:val="hybridMultilevel"/>
    <w:tmpl w:val="A3B62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512C81"/>
    <w:multiLevelType w:val="hybridMultilevel"/>
    <w:tmpl w:val="1E589F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BA6E57"/>
    <w:multiLevelType w:val="hybridMultilevel"/>
    <w:tmpl w:val="56E02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F46C0E"/>
    <w:multiLevelType w:val="hybridMultilevel"/>
    <w:tmpl w:val="6A0A5F16"/>
    <w:lvl w:ilvl="0" w:tplc="04070003" w:tentative="1">
      <w:start w:val="1"/>
      <w:numFmt w:val="bullet"/>
      <w:lvlText w:val="o"/>
      <w:lvlJc w:val="left"/>
      <w:pPr>
        <w:ind w:left="2856" w:hanging="360"/>
      </w:pPr>
      <w:rPr>
        <w:rFonts w:ascii="Courier New" w:hAnsi="Courier New" w:cs="Courier New" w:hint="default"/>
      </w:rPr>
    </w:lvl>
    <w:lvl w:ilvl="1" w:tplc="04070001">
      <w:start w:val="1"/>
      <w:numFmt w:val="bullet"/>
      <w:lvlText w:val=""/>
      <w:lvlJc w:val="left"/>
      <w:pPr>
        <w:ind w:left="2856" w:hanging="360"/>
      </w:pPr>
      <w:rPr>
        <w:rFonts w:ascii="Symbol" w:hAnsi="Symbol" w:hint="default"/>
      </w:rPr>
    </w:lvl>
    <w:lvl w:ilvl="2" w:tplc="04070005">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9" w15:restartNumberingAfterBreak="0">
    <w:nsid w:val="300D12D2"/>
    <w:multiLevelType w:val="hybridMultilevel"/>
    <w:tmpl w:val="85908616"/>
    <w:lvl w:ilvl="0" w:tplc="04070001">
      <w:start w:val="1"/>
      <w:numFmt w:val="bullet"/>
      <w:lvlText w:val=""/>
      <w:lvlJc w:val="left"/>
      <w:pPr>
        <w:ind w:left="785" w:hanging="360"/>
      </w:pPr>
      <w:rPr>
        <w:rFonts w:ascii="Symbol" w:hAnsi="Symbol" w:hint="default"/>
      </w:rPr>
    </w:lvl>
    <w:lvl w:ilvl="1" w:tplc="04070003">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10" w15:restartNumberingAfterBreak="0">
    <w:nsid w:val="32145EE0"/>
    <w:multiLevelType w:val="hybridMultilevel"/>
    <w:tmpl w:val="D77ADB9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6E53A9C"/>
    <w:multiLevelType w:val="hybridMultilevel"/>
    <w:tmpl w:val="8782E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561CCA"/>
    <w:multiLevelType w:val="hybridMultilevel"/>
    <w:tmpl w:val="9A6CB37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442C56"/>
    <w:multiLevelType w:val="hybridMultilevel"/>
    <w:tmpl w:val="30F69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B50FE2"/>
    <w:multiLevelType w:val="hybridMultilevel"/>
    <w:tmpl w:val="0438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BA95874"/>
    <w:multiLevelType w:val="hybridMultilevel"/>
    <w:tmpl w:val="3956E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ED2728"/>
    <w:multiLevelType w:val="hybridMultilevel"/>
    <w:tmpl w:val="E52ED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6E331F"/>
    <w:multiLevelType w:val="hybridMultilevel"/>
    <w:tmpl w:val="B642A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8979CE"/>
    <w:multiLevelType w:val="hybridMultilevel"/>
    <w:tmpl w:val="2A544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3D71F0"/>
    <w:multiLevelType w:val="hybridMultilevel"/>
    <w:tmpl w:val="97DC5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97F4A59"/>
    <w:multiLevelType w:val="hybridMultilevel"/>
    <w:tmpl w:val="EDAA3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7"/>
  </w:num>
  <w:num w:numId="4">
    <w:abstractNumId w:val="12"/>
  </w:num>
  <w:num w:numId="5">
    <w:abstractNumId w:val="5"/>
  </w:num>
  <w:num w:numId="6">
    <w:abstractNumId w:val="13"/>
  </w:num>
  <w:num w:numId="7">
    <w:abstractNumId w:val="7"/>
  </w:num>
  <w:num w:numId="8">
    <w:abstractNumId w:val="20"/>
  </w:num>
  <w:num w:numId="9">
    <w:abstractNumId w:val="19"/>
  </w:num>
  <w:num w:numId="10">
    <w:abstractNumId w:val="16"/>
  </w:num>
  <w:num w:numId="11">
    <w:abstractNumId w:val="4"/>
  </w:num>
  <w:num w:numId="12">
    <w:abstractNumId w:val="14"/>
  </w:num>
  <w:num w:numId="13">
    <w:abstractNumId w:val="10"/>
  </w:num>
  <w:num w:numId="14">
    <w:abstractNumId w:val="0"/>
  </w:num>
  <w:num w:numId="15">
    <w:abstractNumId w:val="1"/>
  </w:num>
  <w:num w:numId="16">
    <w:abstractNumId w:val="9"/>
  </w:num>
  <w:num w:numId="17">
    <w:abstractNumId w:val="2"/>
  </w:num>
  <w:num w:numId="18">
    <w:abstractNumId w:val="6"/>
  </w:num>
  <w:num w:numId="19">
    <w:abstractNumId w:val="18"/>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5B"/>
    <w:rsid w:val="00015376"/>
    <w:rsid w:val="000B048A"/>
    <w:rsid w:val="000B3A8F"/>
    <w:rsid w:val="000B72C7"/>
    <w:rsid w:val="000D1BAF"/>
    <w:rsid w:val="000E76A3"/>
    <w:rsid w:val="00105A14"/>
    <w:rsid w:val="001134EC"/>
    <w:rsid w:val="0019114F"/>
    <w:rsid w:val="001B464A"/>
    <w:rsid w:val="002312B3"/>
    <w:rsid w:val="00232133"/>
    <w:rsid w:val="00233234"/>
    <w:rsid w:val="00245DE8"/>
    <w:rsid w:val="00265A17"/>
    <w:rsid w:val="002765B3"/>
    <w:rsid w:val="002B574A"/>
    <w:rsid w:val="00310600"/>
    <w:rsid w:val="0033489B"/>
    <w:rsid w:val="003429DC"/>
    <w:rsid w:val="003643D5"/>
    <w:rsid w:val="003A5698"/>
    <w:rsid w:val="003F60E5"/>
    <w:rsid w:val="00400445"/>
    <w:rsid w:val="00404ECC"/>
    <w:rsid w:val="00430523"/>
    <w:rsid w:val="0044737F"/>
    <w:rsid w:val="0046389F"/>
    <w:rsid w:val="004656F6"/>
    <w:rsid w:val="004C7AE9"/>
    <w:rsid w:val="004D4ADA"/>
    <w:rsid w:val="00507368"/>
    <w:rsid w:val="00510FB8"/>
    <w:rsid w:val="0054064B"/>
    <w:rsid w:val="00540F17"/>
    <w:rsid w:val="00562E51"/>
    <w:rsid w:val="00583745"/>
    <w:rsid w:val="005C6D91"/>
    <w:rsid w:val="005D123D"/>
    <w:rsid w:val="005D2A23"/>
    <w:rsid w:val="00612BEE"/>
    <w:rsid w:val="00615738"/>
    <w:rsid w:val="00616D29"/>
    <w:rsid w:val="00631BFF"/>
    <w:rsid w:val="0063774D"/>
    <w:rsid w:val="006615B3"/>
    <w:rsid w:val="006649B2"/>
    <w:rsid w:val="00666588"/>
    <w:rsid w:val="00670DEC"/>
    <w:rsid w:val="006905A6"/>
    <w:rsid w:val="006A3A0D"/>
    <w:rsid w:val="006E539D"/>
    <w:rsid w:val="00703A52"/>
    <w:rsid w:val="007272BB"/>
    <w:rsid w:val="00736940"/>
    <w:rsid w:val="00761335"/>
    <w:rsid w:val="00771BE5"/>
    <w:rsid w:val="00773956"/>
    <w:rsid w:val="00783722"/>
    <w:rsid w:val="00794E8A"/>
    <w:rsid w:val="00805597"/>
    <w:rsid w:val="00823016"/>
    <w:rsid w:val="008523CE"/>
    <w:rsid w:val="00874016"/>
    <w:rsid w:val="00883B2F"/>
    <w:rsid w:val="00941BAF"/>
    <w:rsid w:val="00962278"/>
    <w:rsid w:val="00963E2C"/>
    <w:rsid w:val="00964322"/>
    <w:rsid w:val="00A0631B"/>
    <w:rsid w:val="00A57D63"/>
    <w:rsid w:val="00AF1721"/>
    <w:rsid w:val="00B1260C"/>
    <w:rsid w:val="00B267F3"/>
    <w:rsid w:val="00B41FFC"/>
    <w:rsid w:val="00B637B6"/>
    <w:rsid w:val="00B7145B"/>
    <w:rsid w:val="00BA6D1A"/>
    <w:rsid w:val="00BC0062"/>
    <w:rsid w:val="00BD3B2B"/>
    <w:rsid w:val="00BE4095"/>
    <w:rsid w:val="00C22A1C"/>
    <w:rsid w:val="00CA5C74"/>
    <w:rsid w:val="00CB76C6"/>
    <w:rsid w:val="00CD6BC0"/>
    <w:rsid w:val="00CE00BC"/>
    <w:rsid w:val="00CE06E5"/>
    <w:rsid w:val="00D0143B"/>
    <w:rsid w:val="00D113E6"/>
    <w:rsid w:val="00D26F14"/>
    <w:rsid w:val="00D362A5"/>
    <w:rsid w:val="00DA26CE"/>
    <w:rsid w:val="00E21E0E"/>
    <w:rsid w:val="00E66030"/>
    <w:rsid w:val="00E9648B"/>
    <w:rsid w:val="00EC0E62"/>
    <w:rsid w:val="00EC13B3"/>
    <w:rsid w:val="00ED08B6"/>
    <w:rsid w:val="00F0107F"/>
    <w:rsid w:val="00F077D6"/>
    <w:rsid w:val="00F10999"/>
    <w:rsid w:val="00F16479"/>
    <w:rsid w:val="00F20169"/>
    <w:rsid w:val="00F54299"/>
    <w:rsid w:val="00F873D3"/>
    <w:rsid w:val="00F9464A"/>
    <w:rsid w:val="00FA0B80"/>
    <w:rsid w:val="00FA222E"/>
    <w:rsid w:val="00FC0F08"/>
    <w:rsid w:val="00FD268A"/>
    <w:rsid w:val="00FD39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A41F04"/>
  <w15:chartTrackingRefBased/>
  <w15:docId w15:val="{FD77BB35-1AF9-4C43-8EE8-4E27BED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145B"/>
    <w:pPr>
      <w:spacing w:after="0" w:line="276" w:lineRule="auto"/>
    </w:pPr>
  </w:style>
  <w:style w:type="paragraph" w:styleId="berschrift1">
    <w:name w:val="heading 1"/>
    <w:basedOn w:val="Standard"/>
    <w:next w:val="Standard"/>
    <w:link w:val="berschrift1Zchn"/>
    <w:uiPriority w:val="9"/>
    <w:qFormat/>
    <w:rsid w:val="00B714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7145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B7145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7145B"/>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B7145B"/>
    <w:pPr>
      <w:spacing w:line="259" w:lineRule="auto"/>
      <w:outlineLvl w:val="9"/>
    </w:pPr>
    <w:rPr>
      <w:lang w:eastAsia="de-DE"/>
    </w:rPr>
  </w:style>
  <w:style w:type="character" w:customStyle="1" w:styleId="berschrift2Zchn">
    <w:name w:val="Überschrift 2 Zchn"/>
    <w:basedOn w:val="Absatz-Standardschriftart"/>
    <w:link w:val="berschrift2"/>
    <w:uiPriority w:val="9"/>
    <w:rsid w:val="00B7145B"/>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B7145B"/>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46389F"/>
    <w:rPr>
      <w:color w:val="0563C1" w:themeColor="hyperlink"/>
      <w:u w:val="single"/>
    </w:rPr>
  </w:style>
  <w:style w:type="character" w:styleId="Kommentarzeichen">
    <w:name w:val="annotation reference"/>
    <w:basedOn w:val="Absatz-Standardschriftart"/>
    <w:uiPriority w:val="99"/>
    <w:semiHidden/>
    <w:unhideWhenUsed/>
    <w:rsid w:val="0046389F"/>
    <w:rPr>
      <w:sz w:val="16"/>
      <w:szCs w:val="16"/>
    </w:rPr>
  </w:style>
  <w:style w:type="paragraph" w:styleId="Kommentartext">
    <w:name w:val="annotation text"/>
    <w:basedOn w:val="Standard"/>
    <w:link w:val="KommentartextZchn"/>
    <w:uiPriority w:val="99"/>
    <w:semiHidden/>
    <w:unhideWhenUsed/>
    <w:rsid w:val="0046389F"/>
    <w:pPr>
      <w:spacing w:after="200" w:line="240" w:lineRule="auto"/>
    </w:pPr>
    <w:rPr>
      <w:sz w:val="20"/>
      <w:szCs w:val="20"/>
    </w:rPr>
  </w:style>
  <w:style w:type="character" w:customStyle="1" w:styleId="KommentartextZchn">
    <w:name w:val="Kommentartext Zchn"/>
    <w:basedOn w:val="Absatz-Standardschriftart"/>
    <w:link w:val="Kommentartext"/>
    <w:uiPriority w:val="99"/>
    <w:semiHidden/>
    <w:rsid w:val="0046389F"/>
    <w:rPr>
      <w:sz w:val="20"/>
      <w:szCs w:val="20"/>
    </w:rPr>
  </w:style>
  <w:style w:type="paragraph" w:styleId="NurText">
    <w:name w:val="Plain Text"/>
    <w:basedOn w:val="Standard"/>
    <w:link w:val="NurTextZchn"/>
    <w:uiPriority w:val="99"/>
    <w:semiHidden/>
    <w:unhideWhenUsed/>
    <w:rsid w:val="0046389F"/>
    <w:pPr>
      <w:spacing w:line="240" w:lineRule="auto"/>
    </w:pPr>
    <w:rPr>
      <w:rFonts w:ascii="Arial" w:hAnsi="Arial"/>
      <w:szCs w:val="21"/>
    </w:rPr>
  </w:style>
  <w:style w:type="character" w:customStyle="1" w:styleId="NurTextZchn">
    <w:name w:val="Nur Text Zchn"/>
    <w:basedOn w:val="Absatz-Standardschriftart"/>
    <w:link w:val="NurText"/>
    <w:uiPriority w:val="99"/>
    <w:semiHidden/>
    <w:rsid w:val="0046389F"/>
    <w:rPr>
      <w:rFonts w:ascii="Arial" w:hAnsi="Arial"/>
      <w:szCs w:val="21"/>
    </w:rPr>
  </w:style>
  <w:style w:type="paragraph" w:styleId="Sprechblasentext">
    <w:name w:val="Balloon Text"/>
    <w:basedOn w:val="Standard"/>
    <w:link w:val="SprechblasentextZchn"/>
    <w:uiPriority w:val="99"/>
    <w:semiHidden/>
    <w:unhideWhenUsed/>
    <w:rsid w:val="0046389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389F"/>
    <w:rPr>
      <w:rFonts w:ascii="Segoe UI" w:hAnsi="Segoe UI" w:cs="Segoe UI"/>
      <w:sz w:val="18"/>
      <w:szCs w:val="18"/>
    </w:rPr>
  </w:style>
  <w:style w:type="paragraph" w:styleId="Listenabsatz">
    <w:name w:val="List Paragraph"/>
    <w:basedOn w:val="Standard"/>
    <w:uiPriority w:val="34"/>
    <w:qFormat/>
    <w:rsid w:val="0046389F"/>
    <w:pPr>
      <w:ind w:left="720"/>
      <w:contextualSpacing/>
    </w:pPr>
  </w:style>
  <w:style w:type="paragraph" w:customStyle="1" w:styleId="Default">
    <w:name w:val="Default"/>
    <w:rsid w:val="0046389F"/>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Standard"/>
    <w:uiPriority w:val="99"/>
    <w:semiHidden/>
    <w:unhideWhenUsed/>
    <w:rsid w:val="0046389F"/>
    <w:pPr>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46389F"/>
    <w:pPr>
      <w:spacing w:after="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507368"/>
    <w:pPr>
      <w:spacing w:after="0" w:line="240" w:lineRule="auto"/>
    </w:pPr>
  </w:style>
  <w:style w:type="paragraph" w:styleId="Kopfzeile">
    <w:name w:val="header"/>
    <w:basedOn w:val="Standard"/>
    <w:link w:val="KopfzeileZchn"/>
    <w:uiPriority w:val="99"/>
    <w:unhideWhenUsed/>
    <w:rsid w:val="0050736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07368"/>
  </w:style>
  <w:style w:type="paragraph" w:styleId="Fuzeile">
    <w:name w:val="footer"/>
    <w:basedOn w:val="Standard"/>
    <w:link w:val="FuzeileZchn"/>
    <w:uiPriority w:val="99"/>
    <w:unhideWhenUsed/>
    <w:rsid w:val="0050736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368"/>
  </w:style>
  <w:style w:type="character" w:styleId="BesuchterLink">
    <w:name w:val="FollowedHyperlink"/>
    <w:basedOn w:val="Absatz-Standardschriftart"/>
    <w:uiPriority w:val="99"/>
    <w:semiHidden/>
    <w:unhideWhenUsed/>
    <w:rsid w:val="00773956"/>
    <w:rPr>
      <w:color w:val="954F72" w:themeColor="followedHyperlink"/>
      <w:u w:val="single"/>
    </w:rPr>
  </w:style>
  <w:style w:type="paragraph" w:styleId="Verzeichnis1">
    <w:name w:val="toc 1"/>
    <w:basedOn w:val="Standard"/>
    <w:next w:val="Standard"/>
    <w:autoRedefine/>
    <w:uiPriority w:val="39"/>
    <w:unhideWhenUsed/>
    <w:rsid w:val="006A3A0D"/>
    <w:pPr>
      <w:spacing w:after="100"/>
    </w:pPr>
  </w:style>
  <w:style w:type="paragraph" w:styleId="Verzeichnis2">
    <w:name w:val="toc 2"/>
    <w:basedOn w:val="Standard"/>
    <w:next w:val="Standard"/>
    <w:autoRedefine/>
    <w:uiPriority w:val="39"/>
    <w:unhideWhenUsed/>
    <w:rsid w:val="00265A17"/>
    <w:pPr>
      <w:tabs>
        <w:tab w:val="right" w:leader="dot" w:pos="9062"/>
      </w:tabs>
      <w:spacing w:after="100"/>
      <w:ind w:left="708"/>
    </w:pPr>
  </w:style>
  <w:style w:type="paragraph" w:styleId="Verzeichnis3">
    <w:name w:val="toc 3"/>
    <w:basedOn w:val="Standard"/>
    <w:next w:val="Standard"/>
    <w:autoRedefine/>
    <w:uiPriority w:val="39"/>
    <w:unhideWhenUsed/>
    <w:rsid w:val="006A3A0D"/>
    <w:pPr>
      <w:spacing w:after="100"/>
      <w:ind w:left="440"/>
    </w:pPr>
  </w:style>
  <w:style w:type="table" w:customStyle="1" w:styleId="Tabellenraster1">
    <w:name w:val="Tabellenraster1"/>
    <w:basedOn w:val="NormaleTabelle"/>
    <w:next w:val="Tabellenraster"/>
    <w:uiPriority w:val="39"/>
    <w:rsid w:val="0054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undesbank.de/resource/blob/900766/e5487528854eda46226492eb508210a0/mL/verzeichnis-der-kreditinstitute-und-ihrer-verbaende-2022-data.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erderinfo.bund.de/foerderinfo/de/beratung/projekttraeger/projekttraeger_node.html" TargetMode="External"/><Relationship Id="rId17" Type="http://schemas.openxmlformats.org/officeDocument/2006/relationships/hyperlink" Target="mailto:kassenstatistik@statistik.hessen.de" TargetMode="External"/><Relationship Id="rId2" Type="http://schemas.openxmlformats.org/officeDocument/2006/relationships/numbering" Target="numbering.xml"/><Relationship Id="rId16" Type="http://schemas.openxmlformats.org/officeDocument/2006/relationships/hyperlink" Target="mailto:estatistik.core@destatis.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senstatistik@statistik.hessen.de" TargetMode="External"/><Relationship Id="rId5" Type="http://schemas.openxmlformats.org/officeDocument/2006/relationships/webSettings" Target="webSettings.xml"/><Relationship Id="rId15" Type="http://schemas.openxmlformats.org/officeDocument/2006/relationships/hyperlink" Target="https://statistik.hessen.de/daten-online-melden" TargetMode="External"/><Relationship Id="rId10" Type="http://schemas.openxmlformats.org/officeDocument/2006/relationships/hyperlink" Target="mailto:kassenstatistik@statistik.hessen.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rhebungsportal.estatistik.de/Erhebungsport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5596-99CB-4606-AFD4-B2C2F632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3831</Words>
  <Characters>24137</Characters>
  <Application>Microsoft Office Word</Application>
  <DocSecurity>4</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Wirth, Jacqueline-Michelle (HSL)</dc:creator>
  <cp:keywords/>
  <dc:description/>
  <cp:lastModifiedBy>Roßmann, Swetlana (HSL)</cp:lastModifiedBy>
  <cp:revision>2</cp:revision>
  <dcterms:created xsi:type="dcterms:W3CDTF">2025-03-20T13:53:00Z</dcterms:created>
  <dcterms:modified xsi:type="dcterms:W3CDTF">2025-03-20T13:53:00Z</dcterms:modified>
</cp:coreProperties>
</file>